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63685-2025 i Skellefteå kommun</w:t>
      </w:r>
    </w:p>
    <w:p>
      <w:r>
        <w:t>Detta klagomål behandlar höga naturvärden i avverkningsanmälan A 63685-2025 i Skellefteå kommun som inkom 2025-12-23 och omfattar 9,0 ha.</w:t>
      </w:r>
    </w:p>
    <w:p>
      <w:pPr>
        <w:pStyle w:val="Caption"/>
      </w:pPr>
      <w:r>
        <w:drawing>
          <wp:inline xmlns:a="http://schemas.openxmlformats.org/drawingml/2006/main" xmlns:pic="http://schemas.openxmlformats.org/drawingml/2006/picture">
            <wp:extent cx="5486400" cy="4140252"/>
            <wp:docPr id="1" name="Picture 1"/>
            <wp:cNvGraphicFramePr>
              <a:graphicFrameLocks noChangeAspect="1"/>
            </wp:cNvGraphicFramePr>
            <a:graphic>
              <a:graphicData uri="http://schemas.openxmlformats.org/drawingml/2006/picture">
                <pic:pic>
                  <pic:nvPicPr>
                    <pic:cNvPr id="0" name="A 63685-2025 karta.png"/>
                    <pic:cNvPicPr/>
                  </pic:nvPicPr>
                  <pic:blipFill>
                    <a:blip r:embed="rId16"/>
                    <a:stretch>
                      <a:fillRect/>
                    </a:stretch>
                  </pic:blipFill>
                  <pic:spPr>
                    <a:xfrm>
                      <a:off x="0" y="0"/>
                      <a:ext cx="5486400" cy="4140252"/>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7175816, E 757260 i SWEREF 99 TM.</w:t>
      </w:r>
    </w:p>
    <w:p>
      <w:r>
        <w:t>I avverkningsanmälan finns fynd av 12 naturvårdsarter, varav 6 är rödlistade, 4 är fridlysta, 11 är typiska (T) och 5 är signalarter (S): garnlav (VU, T), knärot (VU, T, §8), lunglav (NT, T), talltita (NT, §4), tretåig hackspett (NT, T, §4), ullticka (NT, T), bronshjon (S, T), bårdlav (S, T), skinnlav (S, T), stuplav (S, T), vedticka (S, T) och spillkråka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4 fyndplatser för knärot registrerade på Artportalen. Figur 2 visar gränserna för buffertzoner på 50 m, som behöver lämnas kring fyndplatserna för att knärotslokalerna inte ska försvinna vid en avverkning. Av det avverkningsanmälda området överlappar 2.37 ha med buffertzonerna och får av detta skäl inte avverkas.</w:t>
      </w:r>
    </w:p>
    <w:p>
      <w:pPr>
        <w:pStyle w:val="Caption"/>
      </w:pPr>
      <w:r>
        <w:drawing>
          <wp:inline xmlns:a="http://schemas.openxmlformats.org/drawingml/2006/main" xmlns:pic="http://schemas.openxmlformats.org/drawingml/2006/picture">
            <wp:extent cx="5486400" cy="3893270"/>
            <wp:docPr id="2" name="Picture 2"/>
            <wp:cNvGraphicFramePr>
              <a:graphicFrameLocks noChangeAspect="1"/>
            </wp:cNvGraphicFramePr>
            <a:graphic>
              <a:graphicData uri="http://schemas.openxmlformats.org/drawingml/2006/picture">
                <pic:pic>
                  <pic:nvPicPr>
                    <pic:cNvPr id="0" name="A 63685-2025 karta knärot.png"/>
                    <pic:cNvPicPr/>
                  </pic:nvPicPr>
                  <pic:blipFill>
                    <a:blip r:embed="rId17"/>
                    <a:stretch>
                      <a:fillRect/>
                    </a:stretch>
                  </pic:blipFill>
                  <pic:spPr>
                    <a:xfrm>
                      <a:off x="0" y="0"/>
                      <a:ext cx="5486400" cy="3893270"/>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7175816, E 757260 i SWEREF 99 TM.</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Bronshjon</w:t>
      </w:r>
      <w:r>
        <w:t xml:space="preserve"> är en skalbagge vars larvutveckling sker under grov bark på stammar av döda eller döende barrträd, främst gran, i mindre omfattning tall. Arten är knuten till äldre, naturskogslik granskog med inslag av torkande träd. Bronshjon är typisk art för </w:t>
      </w:r>
      <w:r>
        <w:rPr>
          <w:i/>
        </w:rPr>
        <w:t>9010 Taiga</w:t>
      </w:r>
      <w:r>
        <w:t xml:space="preserve"> (SLU Artdatabanken, 2025).</w:t>
      </w:r>
    </w:p>
    <w:p>
      <w:r>
        <w:rPr>
          <w:b/>
        </w:rPr>
        <w:t>Bårdlav</w:t>
      </w:r>
      <w:r>
        <w:t xml:space="preserve"> signalerar miljöer med höga naturvärden och på lokalerna finns vanligtvis många andra ovanliga och rödlistade arter. Den visar även på platser med hög och jämn luftfuktighet. På bårdlav och andra njurlavar (Nephroma) kan de sällsynta parasiterna </w:t>
      </w:r>
      <w:r>
        <w:rPr>
          <w:i/>
        </w:rPr>
        <w:t xml:space="preserve">Protounguicularia nephromatis </w:t>
      </w:r>
      <w:r>
        <w:t xml:space="preserve">(VU) och </w:t>
      </w:r>
      <w:r>
        <w:rPr>
          <w:i/>
        </w:rPr>
        <w:t xml:space="preserve">Tremella nephromatis </w:t>
      </w:r>
      <w:r>
        <w:t xml:space="preserve">(DD) påträffas. Bårdlav är typisk art för </w:t>
      </w:r>
      <w:r>
        <w:rPr>
          <w:i/>
        </w:rPr>
        <w:t xml:space="preserve">9010 Taiga, 9020 Nordlig ädellövskog, 9070 Trädklädd betesmark, 9110 Näringsfattig bokskog, 9160 Näringsrik ekskog, 9180 Ädellövskog i branter </w:t>
      </w:r>
      <w:r>
        <w:t>och</w:t>
      </w:r>
      <w:r>
        <w:rPr>
          <w:i/>
        </w:rPr>
        <w:t xml:space="preserve"> 9190 Näringsfattig ekskog</w:t>
      </w:r>
      <w:r>
        <w:t xml:space="preserve"> (SLU Artdatabanken, 2026; Nitare &amp; Skogsstyrelsen, 2019).</w:t>
      </w:r>
    </w:p>
    <w:p>
      <w:r>
        <w:rPr>
          <w:b/>
        </w:rPr>
        <w:t xml:space="preserve">Skinnlav </w:t>
      </w:r>
      <w:r>
        <w:t xml:space="preserve">förekommer på diverse lövträd, främst på gammal asp och sälg. Den påträffas främst i områden med lång kontinuitet av grova lövträd och signalerar skogsmark med höga naturvärden. På lokalerna förekommer som regel ett flertal andra ovanliga eller rödlistade lavar. I likhet med gelélavarna, etablerar sig skinnlaven i skogsmark på grova aspar i sena lövsuccessioner. Skinnlav är typisk art för </w:t>
      </w:r>
      <w:r>
        <w:rPr>
          <w:i/>
        </w:rPr>
        <w:t xml:space="preserve">9010 Taiga, 9020 Nordlig ädellövskog </w:t>
      </w:r>
      <w:r>
        <w:t xml:space="preserve">och </w:t>
      </w:r>
      <w:r>
        <w:rPr>
          <w:i/>
        </w:rPr>
        <w:t xml:space="preserve">9070 Trädklädd betesmark </w:t>
      </w:r>
      <w:r>
        <w:t>(Nitare &amp; Skogsstyrelsen, 2019; SLU Artdatabanken, 2025).</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12 naturvårdsarter varav 6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