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24078-2025 i Skellefteå kommun</w:t>
      </w:r>
    </w:p>
    <w:p>
      <w:r>
        <w:t>Denna tillsynsbegäran behandlar höga naturvärden i avverkningsanmälan A 24078-2025 i Skellefteå kommun som inkom 2025-05-19 och omfattar 6,7 ha.</w:t>
      </w:r>
    </w:p>
    <w:p>
      <w:pPr>
        <w:pStyle w:val="Caption"/>
      </w:pPr>
      <w:r>
        <w:drawing>
          <wp:inline xmlns:a="http://schemas.openxmlformats.org/drawingml/2006/main" xmlns:pic="http://schemas.openxmlformats.org/drawingml/2006/picture">
            <wp:extent cx="5359344" cy="5724000"/>
            <wp:docPr id="1" name="Picture 1"/>
            <wp:cNvGraphicFramePr>
              <a:graphicFrameLocks noChangeAspect="1"/>
            </wp:cNvGraphicFramePr>
            <a:graphic>
              <a:graphicData uri="http://schemas.openxmlformats.org/drawingml/2006/picture">
                <pic:pic>
                  <pic:nvPicPr>
                    <pic:cNvPr id="0" name="A 24078-2025 karta.png"/>
                    <pic:cNvPicPr/>
                  </pic:nvPicPr>
                  <pic:blipFill>
                    <a:blip r:embed="rId16"/>
                    <a:stretch>
                      <a:fillRect/>
                    </a:stretch>
                  </pic:blipFill>
                  <pic:spPr>
                    <a:xfrm>
                      <a:off x="0" y="0"/>
                      <a:ext cx="5359344" cy="5724000"/>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7232701, E 753988 i SWEREF 99 TM.</w:t>
      </w:r>
    </w:p>
    <w:p>
      <w:r>
        <w:t>I och inom 21 meter från avverkningsanmälan finns fynd av 19 naturvårdsarter, varav 15 är rödlistade, 3 är fridlysta, 12 är typiska (T) och 3 är signalarter (S): kolticka (CR), urskogsporing (EN), garnlav (VU, T), blanksvart spiklav (NT), blå taggsvamp (NT, T), blågrå svartspik (NT), dropptaggsvamp (NT, T), dvärgbägarlav (NT, T), kolflarnlav (NT, T), lavskrika (NT, T, §4), nordtagging (NT), stjärntagging (NT, T), talltita (NT, §4), vedflamlav (NT), vedskivlav (NT, T), luddlav (S, T), nästlav (S, T), vedticka (S, T)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Kolticka (CR) </w:t>
      </w:r>
      <w:r>
        <w:t>är en mycket sällsynt och akut hotad art som endast växer på brända ytor av grova tallågor, ett substrat som blir alltmer sällsynt och numera bara påträffas i gammal barrskog. Svampens växtplatser bör undantas från skogsbruk och man bör lägga särskild vikt vid att spara gamla tallar. De kända lokalerna bör övervakas och om behov föreligger ges juridiskt skydd. För att säkerställa artens fortlevnad är det eftersträvansvärt att bränna lämpliga skogspartier och låta den brända veden ligga kvar. På sikt är bristen på lämpligt substrat i det kringliggande landskapet ett hot mot artens fortlevnad (SLU Artdatabanken, 2026).</w:t>
      </w:r>
    </w:p>
    <w:p>
      <w:r>
        <w:rPr>
          <w:b/>
        </w:rPr>
        <w:t>Urskogsporing (EN)</w:t>
      </w:r>
      <w:r>
        <w:t xml:space="preserve"> är en starkt hotad art som växer på lågor av barrträd, företrädesvis tall, mer sällan gran. Den är hittills bara påträffad i äldre skogsbestånd med tydlig naturskogskaraktär. Urskogsporingen är förmodligen gynnad av brand och den typ av ved som arten växer på nyskapas knappast alls i modernt skogsbruk. Kända lokaler måste skyddas och undantas från skogsbruk (SLU Artdatabanken, 2024).</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Stjärntagging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blå taggsvamp (NT, T), dropptaggsvamp (NT, T), dvärgbägarlav (NT, T), kolflarnlav (NT, T), lavskrika (NT, T, §4), stjärntagging (NT, T), vedskivlav (NT, T), luddlav (S, T), nästlav (S, T), vedticka (S, T)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