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som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knärot (VU, T, §8), gammelgransskål (NT, T) och vitgrynig nållav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