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899-2023 i Skellefteå kommun</w:t>
      </w:r>
    </w:p>
    <w:p>
      <w:r>
        <w:t>Detta dokument behandlar höga naturvärden i avverkningsanmälan A 899-2023 i Skellefteå kommun. Denna avverkningsanmälan inkom 2023-01-05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18 naturvårdsarter hittats: goliatmusseron (VU), lakritsmusseron (VU), tallgråticka (VU), blanksvart spiklav (NT), blå taggsvamp (NT), mospindling (NT), motaggsvamp (NT), orange taggsvamp (NT), skrovlig taggsvamp (NT), svartvit taggsvamp (NT), tallriska (NT), talltaggsvamp (NT), dropptaggsvamp (S), plattlummer (S, §9), skarp dropptaggsvamp (S), tjäder (§4), vanlig groda (§6) och revlummer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5148"/>
            <wp:docPr id="1" name="Picture 1"/>
            <wp:cNvGraphicFramePr>
              <a:graphicFrameLocks noChangeAspect="1"/>
            </wp:cNvGraphicFramePr>
            <a:graphic>
              <a:graphicData uri="http://schemas.openxmlformats.org/drawingml/2006/picture">
                <pic:pic>
                  <pic:nvPicPr>
                    <pic:cNvPr id="0" name="A 899-2023 karta.png"/>
                    <pic:cNvPicPr/>
                  </pic:nvPicPr>
                  <pic:blipFill>
                    <a:blip r:embed="rId16"/>
                    <a:stretch>
                      <a:fillRect/>
                    </a:stretch>
                  </pic:blipFill>
                  <pic:spPr>
                    <a:xfrm>
                      <a:off x="0" y="0"/>
                      <a:ext cx="5486400" cy="59451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7215934, E 751430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(SLU Artdatabanken, 2024; Nitare &amp; Skogsstyrelsen, 2019; IUCN, 2015).</w:t>
      </w:r>
    </w:p>
    <w:p>
      <w:r>
        <w:rPr>
          <w:b/>
        </w:rPr>
        <w:t>Mospindling (NT)</w:t>
      </w:r>
      <w:r>
        <w:t xml:space="preserve"> bildar mykorrhiza med tall, huvudsakligen i sandig mark bland renlav på magra äldre tallhedar. Inventering av torra tallhedar för att hitta lokaler med denna art är viktigt. Gödsling, kalavverkning och/eller gallring med markförstörande maskiner måste undvikas på lokalerna. Mospindling är globalt rödlistad som nära hotad vilket innebär att Sverige har ett internationellt ansvar för arten (IUCN, 2025;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pPr>
        <w:pStyle w:val="Heading1"/>
      </w:pPr>
      <w:r>
        <w:t>Fridlysta arter</w:t>
      </w:r>
    </w:p>
    <w:p>
      <w:r>
        <w:t>Följande fridlysta arter har sina livsmiljöer och växtplatser i den avverkningsanmälda skogen: plattlummer (S, §9), tjäder (§4), vanlig groda (§6)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