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15110-2021 i Skellefteå kommun</w:t>
      </w:r>
    </w:p>
    <w:p>
      <w:r>
        <w:t>Detta dokument behandlar höga naturvärden i avverkningsanmälan A 15110-2021 i Skellefteå kommun. Denna avverkningsanmälan inkom 2021-03-26 00:00:00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10 naturvårdsarter hittats: rotfingersvamp (VU), gammelgransskål (NT), lunglav (NT), nordtagging (NT), orange taggsvamp (NT), svart taggsvamp (NT), bårdlav (S), dropptaggsvamp (S), stuplav (S) och nattviol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3757"/>
            <wp:docPr id="1" name="Picture 1"/>
            <wp:cNvGraphicFramePr>
              <a:graphicFrameLocks noChangeAspect="1"/>
            </wp:cNvGraphicFramePr>
            <a:graphic>
              <a:graphicData uri="http://schemas.openxmlformats.org/drawingml/2006/picture">
                <pic:pic>
                  <pic:nvPicPr>
                    <pic:cNvPr id="0" name="A 15110-2021 karta.png"/>
                    <pic:cNvPicPr/>
                  </pic:nvPicPr>
                  <pic:blipFill>
                    <a:blip r:embed="rId16"/>
                    <a:stretch>
                      <a:fillRect/>
                    </a:stretch>
                  </pic:blipFill>
                  <pic:spPr>
                    <a:xfrm>
                      <a:off x="0" y="0"/>
                      <a:ext cx="5486400" cy="5313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7237812, E 767715 i SWEREF 99 TM.</w:t>
      </w:r>
    </w:p>
    <w:p>
      <w:r>
        <w:rPr>
          <w:b/>
        </w:rPr>
        <w:t>Bårdlav</w:t>
      </w:r>
      <w:r>
        <w:t xml:space="preserve"> signalerar miljöer med höga naturvärden och på lokalerna finns vanligtvis många andra ovanliga och rödlistade arter. Den visar även på platser med hög och jämn luftfuktighet.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2025; Nitare &amp; Skogsstyrelsen, 2019).</w:t>
      </w:r>
    </w:p>
    <w:p>
      <w:r>
        <w:rPr>
          <w:b/>
        </w:rPr>
        <w:t>Dropptaggsvamp</w:t>
      </w:r>
      <w:r>
        <w:t xml:space="preserve"> bildar mykorrhiza med tall, huvudsakligen i äldre skog. Total population i landet bedöms ha minskat och fortsatt minska på grund av slutavverkningar och förhöja kvävenivåer i marken som en följd av skogsgödsling. Dropptaggsvamp är typisk art för </w:t>
      </w:r>
      <w:r>
        <w:rPr>
          <w:i/>
        </w:rPr>
        <w:t xml:space="preserve">9010 Taiga </w:t>
      </w:r>
      <w:r>
        <w:t>(SLU Artdatabanken, 2025).</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nattviol (§8).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