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11867-2022 i Skellefteå kommun</w:t>
      </w:r>
    </w:p>
    <w:p>
      <w:r>
        <w:t>Detta dokument behandlar höga naturvärden i avverkningsanmälan A 11867-2022 i Skellefteå kommun. Denna avverkningsanmälan inkom 2022-03-15 00:00:00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nordlig flatbagge (VU), kolflarnlav (NT), skrovlig flatbagge (NT), spillkråka (NT, §4) och violettgrå tagellav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3184"/>
            <wp:docPr id="1" name="Picture 1"/>
            <wp:cNvGraphicFramePr>
              <a:graphicFrameLocks noChangeAspect="1"/>
            </wp:cNvGraphicFramePr>
            <a:graphic>
              <a:graphicData uri="http://schemas.openxmlformats.org/drawingml/2006/picture">
                <pic:pic>
                  <pic:nvPicPr>
                    <pic:cNvPr id="0" name="A 11867-2022 karta.png"/>
                    <pic:cNvPicPr/>
                  </pic:nvPicPr>
                  <pic:blipFill>
                    <a:blip r:embed="rId16"/>
                    <a:stretch>
                      <a:fillRect/>
                    </a:stretch>
                  </pic:blipFill>
                  <pic:spPr>
                    <a:xfrm>
                      <a:off x="0" y="0"/>
                      <a:ext cx="5486400" cy="40031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7194757, E 752389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Nordlig flatbagge</w:t>
      </w:r>
      <w:r>
        <w:rPr>
          <w:b/>
          <w:i/>
        </w:rPr>
        <w:t xml:space="preserve"> </w:t>
      </w:r>
      <w:r>
        <w:rPr>
          <w:b/>
        </w:rPr>
        <w:t xml:space="preserve">(VU) </w:t>
      </w:r>
      <w:r>
        <w:t>är starkt knuten till naturskogar med äldre björk, ofta på brandfält med döda björkar. Skalbaggens larvutveckling sker i mycelhaltig ved i grova stammar eller stubbar av lövträd, främst björk med fnöskticka, mer sällan på andra trädslag. Fullbildade skalbaggar påträffas under juni-september, ofta vid näringsgnag på undersidan av levande fnösktickor. Arten hotas av brist på utvecklingssubstrat, bland annat beroende på att björk ofta gallras ut från skogsbestånden redan på ett tidigt stadium och att det ökade värdet på massaved av björk gjort att äldre björkar tillvaratas i allt större utsträckning i samband med slutavverkningar (SLU Artdatabanken, 2024).</w:t>
      </w:r>
    </w:p>
    <w:p>
      <w:r>
        <w:rPr>
          <w:b/>
        </w:rPr>
        <w:t xml:space="preserve">Skrovlig flatbagge (NT) </w:t>
      </w:r>
      <w:r>
        <w:t>är en skalbagge vars larvutveckling sker i mycelrik ved nära fruktkroppar av timmerticka eller citronticka i lågor av barrträd, främst tall, men även gran. Fullbildade skalbaggar påträffas i eller utanpå stammen vid näringsgnag på de vitaktiga, resupinata fruktkropparna. Arten missgynnas framförallt av att skogen blir tätare på grund av skogsskötsel och av att såväl återkommande bränder som skogsbete upphört. I naturligt öppnare miljöer hotas arten av vedtäkt och annat tillvaratagande av tallvirke. Naturligt brunnen tallskog i eller nära lokaler med arten bör skyddas. I skogsbruket bör mer naturvårdsträd av tall och vindfällen lämnas i fred. Detta är särskilt viktigt i kantzoner mot mer öppen mark tex. invid hällmarksimpediment. Skrovlig flatbagge</w:t>
      </w:r>
      <w:r>
        <w:rPr>
          <w:b/>
        </w:rPr>
        <w:t xml:space="preserve"> </w:t>
      </w:r>
      <w:r>
        <w:t>ingår i ett åtgärdsprogram för hotade arter (ÅGP) (SLU Artdatabanken, 2024; Wikars, 2014).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