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56462-2024 i Skellefteå kommun</w:t>
      </w:r>
    </w:p>
    <w:p>
      <w:r>
        <w:t>Detta dokument behandlar höga naturvärden i avverkningsanmälan A 56462-2024 i Skellefteå kommun. Denna avverkningsanmälan inkom 2024-11-29 00:00:00 och omfattar 44,8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större svartbagge (EN), korthornad ögonbagge (NT), rödhalsad vedsvampbagge (NT) och svart ögonknäppare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56462-2024 karta.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7177714, E 794736 i SWEREF 99 TM.</w:t>
      </w:r>
    </w:p>
    <w:p>
      <w:r>
        <w:rPr>
          <w:b/>
        </w:rPr>
        <w:t>Större svartbagge (EN)</w:t>
      </w:r>
      <w:r>
        <w:t xml:space="preserve"> är en starkt hotad skalbagge vars larvutveckling sker i mycelhaltig innerbark och splintved, främst på grova, döda, solexponerade och gärna brandskadade björkar, men även på sälg, asp och gråal. Huvudsakligen utnyttjas träd angripna av fnöskticka. Arten hotas av att mängden björkved minskat genom flera decenniers aktiv lövbekämpning i det boreala skogslandskapet, samt av uteblivna bränder. Större svartbagge ingår i ett åtgärdsprogram för hotade arter (ÅGP) och den är rödlistad som nära hotad (NT) i den europeiska rödlistan (SLU Artdatabanken, 2024; Wikars, 2008; IUCN, 2016).</w:t>
      </w:r>
    </w:p>
    <w:p>
      <w:r>
        <w:rPr>
          <w:b/>
        </w:rPr>
        <w:t>Svart ögonknäppare (NT)</w:t>
      </w:r>
      <w:r>
        <w:t xml:space="preserve"> är en skalbagge vars larvutveckling företrädesvis sker i ytlig vitrötad ved av björk, helst stående, solexponerade träd med tjock bark. Den är starkt attraherad till brandfält. På nybrända björkar utvecklas larverna helt i skiktet mellan bark och ved, även under ganska tunn bark. Arten hotas av att mängden grova björkar minskat genom flera decenniers aktiv lövbekämpning i det boreala skogslandskapet, samt av uteblivna bränder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