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56645-2024 i Skellefteå kommun</w:t>
      </w:r>
    </w:p>
    <w:p>
      <w:r>
        <w:t>Detta dokument behandlar höga naturvärden i avverkningsanmälan A 56645-2024 i Skellefteå kommun. Denna avverkningsanmälan inkom 2024-11-29 17:41:33 och omfattar 7,5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14 naturvårdsarter hittats: doftticka (VU, §8), knärot (VU, §8), brunpudrad nållav (NT), garnlav (NT), granticka (NT), Leptoporus mollis (NT), lunglav (NT), talltita (NT, §4), tretåig hackspett (NT, §4), ullticka (NT), bårdlav (S), spindelblomster (S, §8), stuplav (S) och vanlig groda (§6).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74303"/>
            <wp:docPr id="1" name="Picture 1"/>
            <wp:cNvGraphicFramePr>
              <a:graphicFrameLocks noChangeAspect="1"/>
            </wp:cNvGraphicFramePr>
            <a:graphic>
              <a:graphicData uri="http://schemas.openxmlformats.org/drawingml/2006/picture">
                <pic:pic>
                  <pic:nvPicPr>
                    <pic:cNvPr id="0" name="A 56645-2024 karta.png"/>
                    <pic:cNvPicPr/>
                  </pic:nvPicPr>
                  <pic:blipFill>
                    <a:blip r:embed="rId16"/>
                    <a:stretch>
                      <a:fillRect/>
                    </a:stretch>
                  </pic:blipFill>
                  <pic:spPr>
                    <a:xfrm>
                      <a:off x="0" y="0"/>
                      <a:ext cx="5486400" cy="5674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7211624, E 753173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doftticka (VU, §8), knärot (VU, §8), talltita (NT, §4), tretåig hackspett (NT, §4), spindelblomster (S, §8) och vanlig groda (§6).</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Doftticka (VU, §8)</w:t>
      </w:r>
      <w:r>
        <w:t xml:space="preserve"> är rödlistad som sårbar (VU) och fridlyst enligt 8§ artskyddsförordningen. Den är även globalt rödlistad som Nära hotad (NT) vilket innebär att Sverige har ett internationellt ansvar för arten. Doftticka är beroende av hög och jämn luftfuktighet i gamla, ostörda skogsmiljöer och är känslig för snabba förändringar av ljus-/vindförhållanden eller uttorkning. Dofttickan är placerad i toppen av Skogsstyrelsens värdepyramid för bedömning av skog med höga naturvärden och signalerar alltid gamla sälgar och skogsområden med höga naturvärden. Avverkning av värdträd (främst sälg) utgör det största hotet och när gamla och olikåldriga skogar med sälg avverkas försvinner oftast sälgen. Dofttickan har minskat med ca 30 % under de senaste 30 åren (IUCN Redlist, 2024; Nitare &amp; Skogsstyrelsen, 2019; SLU Artdatabanken, 2024).</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2.26 ha med buffertzonerna och får av detta skäl inte avverkas.</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56645-2024 karta knärot.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7211624, E 753173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14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