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25943-2024 i Skellefteå kommun</w:t>
      </w:r>
    </w:p>
    <w:p>
      <w:r>
        <w:t>Detta klagomål behandlar höga naturvärden i avverkningsanmälan A 25943-2024 i Skellefteå kommun som inkom 2024-06-24 och omfattar 0,8 ha.</w:t>
      </w:r>
    </w:p>
    <w:p>
      <w:pPr>
        <w:pStyle w:val="Caption"/>
      </w:pPr>
      <w:r>
        <w:drawing>
          <wp:inline xmlns:a="http://schemas.openxmlformats.org/drawingml/2006/main" xmlns:pic="http://schemas.openxmlformats.org/drawingml/2006/picture">
            <wp:extent cx="5486400" cy="4713402"/>
            <wp:docPr id="1" name="Picture 1"/>
            <wp:cNvGraphicFramePr>
              <a:graphicFrameLocks noChangeAspect="1"/>
            </wp:cNvGraphicFramePr>
            <a:graphic>
              <a:graphicData uri="http://schemas.openxmlformats.org/drawingml/2006/picture">
                <pic:pic>
                  <pic:nvPicPr>
                    <pic:cNvPr id="0" name="A 25943-2024 karta.png"/>
                    <pic:cNvPicPr/>
                  </pic:nvPicPr>
                  <pic:blipFill>
                    <a:blip r:embed="rId16"/>
                    <a:stretch>
                      <a:fillRect/>
                    </a:stretch>
                  </pic:blipFill>
                  <pic:spPr>
                    <a:xfrm>
                      <a:off x="0" y="0"/>
                      <a:ext cx="5486400" cy="471340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7192950, E 757719 i SWEREF 99 TM.</w:t>
      </w:r>
    </w:p>
    <w:p>
      <w:r>
        <w:t>Inom 13 meter från avverkningsanmälan finns fynd av 4 naturvårdsarter, varav 3 är rödlistade, 1 är fridlyst, 4 är typiska (T) och 1 är signalart (S): doftticka (VU, T, §8), lunglav (NT, T), violettgrå tagellav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