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26112-2025 i Skellefteå kommun</w:t>
      </w:r>
    </w:p>
    <w:p>
      <w:r>
        <w:t>Denna tillsynsbegäran behandlar höga naturvärden i avverkningsanmälan A 26112-2025 i Skellefteå kommun som inkom 2025-05-28 och omfattar 12,7 ha.</w:t>
      </w:r>
    </w:p>
    <w:p>
      <w:pPr>
        <w:pStyle w:val="Caption"/>
      </w:pPr>
      <w:r>
        <w:drawing>
          <wp:inline xmlns:a="http://schemas.openxmlformats.org/drawingml/2006/main" xmlns:pic="http://schemas.openxmlformats.org/drawingml/2006/picture">
            <wp:extent cx="5486400" cy="3376681"/>
            <wp:docPr id="1" name="Picture 1"/>
            <wp:cNvGraphicFramePr>
              <a:graphicFrameLocks noChangeAspect="1"/>
            </wp:cNvGraphicFramePr>
            <a:graphic>
              <a:graphicData uri="http://schemas.openxmlformats.org/drawingml/2006/picture">
                <pic:pic>
                  <pic:nvPicPr>
                    <pic:cNvPr id="0" name="A 26112-2025 karta.png"/>
                    <pic:cNvPicPr/>
                  </pic:nvPicPr>
                  <pic:blipFill>
                    <a:blip r:embed="rId16"/>
                    <a:stretch>
                      <a:fillRect/>
                    </a:stretch>
                  </pic:blipFill>
                  <pic:spPr>
                    <a:xfrm>
                      <a:off x="0" y="0"/>
                      <a:ext cx="5486400" cy="337668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7197134, E 751335 i SWEREF 99 TM.</w:t>
      </w:r>
    </w:p>
    <w:p>
      <w:r>
        <w:t>I och inom 23 meter från avverkningsanmälan finns fynd av 10 naturvårdsarter, varav 8 är rödlistade, 7 är typiska (T) och 2 är signalarter (S): garnlav (VU, T), kilporing (VU), ulltickeporing (VU), gammelgransskål (NT, T), lunglav (NT, T), månlåsbräken (NT), stjärntagging (NT, T), ullticka (NT, T), blodticka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stjärntagging (NT, T), ullticka (NT, T), blodticka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