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50032-2024 i Skellefteå kommun</w:t>
      </w:r>
    </w:p>
    <w:p>
      <w:r>
        <w:t>Denna tillsynsbegäran behandlar höga naturvärden i avverkningsanmälan A 50032-2024 i Skellefteå kommun som inkom 2024-11-03 och omfattar 22,7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50032-2024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7241660, E 780233 i SWEREF 99 TM.</w:t>
      </w:r>
    </w:p>
    <w:p>
      <w:r>
        <w:t>I och inom 3 meter från avverkningsanmälan finns fynd av 9 naturvårdsarter, varav 7 är rödlistade, 3 är fridlysta, 6 är typiska (T) och 1 är signalart (S): urskogsporing (EN), dropptaggsvamp (NT, T), gammelgransskål (NT, T), kolflarnlav (NT, T), mörk kolflarnlav (NT), talltita (NT, §4), tretåig hackspett (NT, T, §4),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gammelgransskål (NT, T), kolflarnlav (NT, T), tretåig hackspett (NT, T, §4),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