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2801-2024 i Skellefteå kommun</w:t>
      </w:r>
    </w:p>
    <w:p>
      <w:r>
        <w:t>Detta klagomål behandlar höga naturvärden i avverkningsanmälan A 2801-2024 i Skellefteå kommun som inkom 2024-01-23 och omfattar 10,8 ha.</w:t>
      </w:r>
    </w:p>
    <w:p>
      <w:pPr>
        <w:pStyle w:val="Caption"/>
      </w:pPr>
      <w:r>
        <w:drawing>
          <wp:inline xmlns:a="http://schemas.openxmlformats.org/drawingml/2006/main" xmlns:pic="http://schemas.openxmlformats.org/drawingml/2006/picture">
            <wp:extent cx="5486400" cy="4961288"/>
            <wp:docPr id="1" name="Picture 1"/>
            <wp:cNvGraphicFramePr>
              <a:graphicFrameLocks noChangeAspect="1"/>
            </wp:cNvGraphicFramePr>
            <a:graphic>
              <a:graphicData uri="http://schemas.openxmlformats.org/drawingml/2006/picture">
                <pic:pic>
                  <pic:nvPicPr>
                    <pic:cNvPr id="0" name="A 2801-2024 karta.png"/>
                    <pic:cNvPicPr/>
                  </pic:nvPicPr>
                  <pic:blipFill>
                    <a:blip r:embed="rId16"/>
                    <a:stretch>
                      <a:fillRect/>
                    </a:stretch>
                  </pic:blipFill>
                  <pic:spPr>
                    <a:xfrm>
                      <a:off x="0" y="0"/>
                      <a:ext cx="5486400" cy="4961288"/>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7241883, E 781647 i SWEREF 99 TM.</w:t>
      </w:r>
    </w:p>
    <w:p>
      <w:r>
        <w:t>I avverkningsanmälan finns fynd av 6 naturvårdsarter, varav 6 är rödlistade och 2 är typiska (T): apelsinticka (NT), dropptaggsvamp (NT, T), motaggsvamp (NT, T), mörk kolflarnlav (NT), vaddporing (NT) och vitplätt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Apelsinticka (NT) </w:t>
      </w:r>
      <w:r>
        <w:t>växer mestadels på liggande ved av tall men även på granved. Artens ekologi och utbredning bör utredas ytterligare. Särskilt bör den eftersökas i de delar av Norrland där den ännu ej är funnen. I väntan på ytterligare detaljer om artens ståndortskrav bör fler tallskogar av naturskogskaraktär och med god tillgång på lågor sparas (SLU Artdatabanken, 2024).</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 xml:space="preserve">Vaddporing (NT) </w:t>
      </w:r>
      <w:r>
        <w:t>är en brunrötande vednedbrytare som hittas på undersidan av liggande murken tallved i olika former. Substratet utgörs framför allt av den typ av hård, kådimpregnerad och ofta kolad tallved som skapas i brandpräglad skog. Vedtypen nybildas i mycket liten omfattning och det är sannolikt att arten upplever en utdöendeskuld. För att garantera artens fortlevnad bör man både säkra att artens växtplatser hålls intakta samt att långsiktigt säkerställa att ny ved tillkommer, allra helst i omedelbar anslutning till artens växtplatser. Skoglig gallring och annat uttag av virke innebär ett hot mot arten (SLU Artdatabanken, 2024).</w:t>
      </w:r>
    </w:p>
    <w:p>
      <w:r>
        <w:rPr>
          <w:b/>
        </w:rPr>
        <w:t>Vitplätt (NT)</w:t>
      </w:r>
      <w:r>
        <w:t xml:space="preserve"> är en nedbrytare av död, hård och torr tallved och orsakar brunröta. Den förekommer mest i äldre, naturskogsliknande tallskog eller blandskog med äldre tall. Arten hotas av avverkning av gammal, senvuxen tall. I södra Sverige råder brist på lämpliga habitat och arten kan inte längre sprida sig utanför sina få kända växtplatser. Lokaler med gammal tall bör undantas från skogsbruk, i synnerhet i södra Sverige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6 naturvårdsarter varav 6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