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54391-2023 i Skellefteå kommun</w:t>
      </w:r>
    </w:p>
    <w:p>
      <w:r>
        <w:t>Denna tillsynsbegäran behandlar höga naturvärden i avverkningsanmälan A 54391-2023 i Skellefteå kommun som inkom 2023-10-27 och omfattar 17,9 ha.</w:t>
      </w:r>
    </w:p>
    <w:p>
      <w:pPr>
        <w:pStyle w:val="Caption"/>
      </w:pPr>
      <w:r>
        <w:drawing>
          <wp:inline xmlns:a="http://schemas.openxmlformats.org/drawingml/2006/main" xmlns:pic="http://schemas.openxmlformats.org/drawingml/2006/picture">
            <wp:extent cx="4398235" cy="5724000"/>
            <wp:docPr id="1" name="Picture 1"/>
            <wp:cNvGraphicFramePr>
              <a:graphicFrameLocks noChangeAspect="1"/>
            </wp:cNvGraphicFramePr>
            <a:graphic>
              <a:graphicData uri="http://schemas.openxmlformats.org/drawingml/2006/picture">
                <pic:pic>
                  <pic:nvPicPr>
                    <pic:cNvPr id="0" name="A 54391-2023 karta.png"/>
                    <pic:cNvPicPr/>
                  </pic:nvPicPr>
                  <pic:blipFill>
                    <a:blip r:embed="rId16"/>
                    <a:stretch>
                      <a:fillRect/>
                    </a:stretch>
                  </pic:blipFill>
                  <pic:spPr>
                    <a:xfrm>
                      <a:off x="0" y="0"/>
                      <a:ext cx="4398235"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7201332, E 779087 i SWEREF 99 TM.</w:t>
      </w:r>
    </w:p>
    <w:p>
      <w:r>
        <w:t>I och inom 18 meter från avverkningsanmälan finns fynd av 9 naturvårdsarter, varav 3 är rödlistade, 4 är fridlysta, 5 är typiska (T) och 2 är signalarter (S): garnlav (VU, T), harticka (NT, T), tallticka (NT, T), gullgröppa (S), skinnlav (S, T), spillkråka (T, §4), svartvit flugsnappare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tallticka (NT, T), skinnlav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