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56462-2024 i Skellefteå kommun</w:t>
      </w:r>
    </w:p>
    <w:p>
      <w:r>
        <w:t>Denna tillsynsbegäran behandlar höga naturvärden i avverkningsanmälan A 56462-2024 i Skellefteå kommun som inkom 2024-11-29 och omfattar 44,8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56462-2024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7177714, E 794736 i SWEREF 99 TM.</w:t>
      </w:r>
    </w:p>
    <w:p>
      <w:r>
        <w:t>I och inom 12 meter från avverkningsanmälan finns fynd av 4 naturvårdsarter, varav 3 är rödlistade, 1 är typisk (T) och 1 är signalart (S): korthornad ögonbagge (NT), rödhalsad vedsvampbagge (NT), svart ögonknäppare (NT) och stekelbock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Korthornad ögonbagge (NT) </w:t>
      </w:r>
      <w:r>
        <w:t>är en skalbagge vars larvutveckling sker i fruktkroppar av resupinata tickor på lövträd, ofta under lös bark på liggande, döda aspar, men även på brandskadade rönnar och andra lövträd. Arten påverkas negativt av brist på grova eller gamla träd och en minskning av populationen pågår eller förväntas ske. Minskningen avser kvalitén på artens habitat och antalet lokalområden (SLU Artdatabanken, 2025).</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r>
        <w:rPr>
          <w:b/>
        </w:rPr>
        <w:t>Svart ögonknäppare (NT)</w:t>
      </w:r>
      <w:r>
        <w:t xml:space="preserve"> är en skalbagge vars larvutveckling företrädesvis sker i ytlig vitrötad ved av björk, helst stående, solexponerade träd med tjock bark. Den är starkt attraherad till brandfält. På nybrända björkar utvecklas larverna helt i skiktet mellan bark och ved, även under ganska tunn bark. Arten hotas av att mängden grova björkar minskat genom flera decenniers aktiv lövbekämpning i det boreala skogslandskapet, samt av uteblivna bränder (SLU Artdatabanken, 2024).</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