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24579-2025 i Skellefteå kommun</w:t>
      </w:r>
    </w:p>
    <w:p>
      <w:r>
        <w:t>Denna tillsynsbegäran behandlar höga naturvärden i avverkningsanmälan A 24579-2025 i Skellefteå kommun som inkom 2025-05-21 och omfattar 26,7 ha.</w:t>
      </w:r>
    </w:p>
    <w:p>
      <w:pPr>
        <w:pStyle w:val="Caption"/>
      </w:pPr>
      <w:r>
        <w:drawing>
          <wp:inline xmlns:a="http://schemas.openxmlformats.org/drawingml/2006/main" xmlns:pic="http://schemas.openxmlformats.org/drawingml/2006/picture">
            <wp:extent cx="5486400" cy="4894397"/>
            <wp:docPr id="1" name="Picture 1"/>
            <wp:cNvGraphicFramePr>
              <a:graphicFrameLocks noChangeAspect="1"/>
            </wp:cNvGraphicFramePr>
            <a:graphic>
              <a:graphicData uri="http://schemas.openxmlformats.org/drawingml/2006/picture">
                <pic:pic>
                  <pic:nvPicPr>
                    <pic:cNvPr id="0" name="A 24579-2025 karta.png"/>
                    <pic:cNvPicPr/>
                  </pic:nvPicPr>
                  <pic:blipFill>
                    <a:blip r:embed="rId16"/>
                    <a:stretch>
                      <a:fillRect/>
                    </a:stretch>
                  </pic:blipFill>
                  <pic:spPr>
                    <a:xfrm>
                      <a:off x="0" y="0"/>
                      <a:ext cx="5486400" cy="489439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7234548, E 718365 i SWEREF 99 TM.</w:t>
      </w:r>
    </w:p>
    <w:p>
      <w:r>
        <w:t>I avverkningsanmälan finns fynd av 14 naturvårdsarter, varav 9 är rödlistade, 4 är fridlysta, 12 är typiska (T) och 4 är signalarter (S): garnlav (VU, T), gropig skägglav (VU), dropptaggsvamp (NT, T), dvärgbägarlav (NT, T), lunglav (NT, T), talltita (NT, §4), tretåig hackspett (NT, T, §4), vedskivlav (NT, T), violettgrå tagellav (NT, T), luddlav (S, T), norrlandslav (S, T), spindelblomster (S, T, §8), vedticka (S,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Gropig skägglav (VU)</w:t>
      </w:r>
      <w:r>
        <w:t xml:space="preserve"> växer på träd i flera olika miljöer, både kulturmark som alléer och i gammal skog. Är sannolikt känslig för luftföroreningar liksom slutavverkning av gammal skog men orsaken till tillbakagången är delvis oklar. Minskningstakten har uppgått till 30 (20–40) % under de senaste 50 åren och överstiger gränsvärdet för sårbar (VU). Arten påverkas negativt av brist på kontinuitetsskog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dropptaggsvamp (NT, T), dvärgbägarlav (NT, T), lunglav (NT, T), tretåig hackspett (NT, T, §4), vedskivlav (NT, T), violettgrå tagellav (NT, T), luddlav (S, T), norrlandslav (S, T), spindelblomster (S, T, §8), vedticka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