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39213-2021 i Skellefteå kommun</w:t>
      </w:r>
    </w:p>
    <w:p>
      <w:r>
        <w:t>Detta dokument behandlar höga naturvärden i avverkningsanmälan A 39213-2021 i Skellefteå kommun. Denna avverkningsanmälan inkom 2021-08-05 00:00:00 och omfattar 25,0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9 naturvårdsarter hittats: gammelgransskål (NT), garnlav (NT), granticka (NT), stjärntagging (NT), tallticka (NT), tretåig hackspett (NT, §4), ullticka (NT), violettgrå tagellav (NT) och vedticka (S).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28802"/>
            <wp:docPr id="1" name="Picture 1"/>
            <wp:cNvGraphicFramePr>
              <a:graphicFrameLocks noChangeAspect="1"/>
            </wp:cNvGraphicFramePr>
            <a:graphic>
              <a:graphicData uri="http://schemas.openxmlformats.org/drawingml/2006/picture">
                <pic:pic>
                  <pic:nvPicPr>
                    <pic:cNvPr id="0" name="A 39213-2021 karta.png"/>
                    <pic:cNvPicPr/>
                  </pic:nvPicPr>
                  <pic:blipFill>
                    <a:blip r:embed="rId16"/>
                    <a:stretch>
                      <a:fillRect/>
                    </a:stretch>
                  </pic:blipFill>
                  <pic:spPr>
                    <a:xfrm>
                      <a:off x="0" y="0"/>
                      <a:ext cx="5486400" cy="312880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7172668, E 806580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Granticka</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Det som tidigare inbegripit grantickan har visat sig röra sig om två arter; tajgagranticka </w:t>
      </w:r>
      <w:r>
        <w:rPr>
          <w:i/>
        </w:rPr>
        <w:t>Porodaedalea abietis</w:t>
      </w:r>
      <w:r>
        <w:t xml:space="preserve"> (LC) och </w:t>
      </w:r>
      <w:r>
        <w:rPr>
          <w:i/>
        </w:rPr>
        <w:t>Porodaedalea chrysoloma</w:t>
      </w:r>
      <w:r>
        <w:t xml:space="preserve"> (DD). Den nordligare arten, tajgagranticka, bildar större fruktkroppar och har sin främsta förekomst i norra Sverige, medan den mer tunnköttiga arten, </w:t>
      </w:r>
      <w:r>
        <w:rPr>
          <w:i/>
        </w:rPr>
        <w:t>P. chrysoloma</w:t>
      </w:r>
      <w:r>
        <w:t>, förekommer i sydöstra Sverige och på Gotland (SLU Artdatabanken, 2026; Nitare &amp; Skogsstyrelsen, 2019).</w:t>
      </w:r>
    </w:p>
    <w:p>
      <w:r>
        <w:rPr>
          <w:b/>
        </w:rPr>
        <w:t>Stjärntagging (NT)</w:t>
      </w:r>
      <w:r>
        <w:t xml:space="preserve"> signalerar inom hela sitt utbredningsområde höga naturvärden. Svampen är uttorkningskänslig och beroende av ett oförändrat fuktigt mikroklimat. Den är även beroende av en ständig tillgång på död ved i olika nedbrytningsstadier, dock ej nödvändigtvis grova träd. Tidigare påverkan på miljön måste dock ha varit så skonsam att det naturliga skogsekosystemet till stora delar har bevarats. Minskningstakten för den svenska populationen bedöms vara nära gränsvärdet för Sårbar (VU). Stjärntagging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