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24496-2025 i Skellefteå kommun</w:t>
      </w:r>
    </w:p>
    <w:p>
      <w:r>
        <w:t>Detta klagomål behandlar höga naturvärden i avverkningsanmälan A 24496-2025 i Skellefteå kommun som inkom 2025-05-21 och omfattar 3,0 ha.</w:t>
      </w:r>
    </w:p>
    <w:p>
      <w:pPr>
        <w:pStyle w:val="Caption"/>
      </w:pPr>
      <w:r>
        <w:drawing>
          <wp:inline xmlns:a="http://schemas.openxmlformats.org/drawingml/2006/main" xmlns:pic="http://schemas.openxmlformats.org/drawingml/2006/picture">
            <wp:extent cx="5486400" cy="4468305"/>
            <wp:docPr id="1" name="Picture 1"/>
            <wp:cNvGraphicFramePr>
              <a:graphicFrameLocks noChangeAspect="1"/>
            </wp:cNvGraphicFramePr>
            <a:graphic>
              <a:graphicData uri="http://schemas.openxmlformats.org/drawingml/2006/picture">
                <pic:pic>
                  <pic:nvPicPr>
                    <pic:cNvPr id="0" name="A 24496-2025 karta.png"/>
                    <pic:cNvPicPr/>
                  </pic:nvPicPr>
                  <pic:blipFill>
                    <a:blip r:embed="rId16"/>
                    <a:stretch>
                      <a:fillRect/>
                    </a:stretch>
                  </pic:blipFill>
                  <pic:spPr>
                    <a:xfrm>
                      <a:off x="0" y="0"/>
                      <a:ext cx="5486400" cy="446830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7181631, E 761773 i SWEREF 99 TM.</w:t>
      </w:r>
    </w:p>
    <w:p>
      <w:r>
        <w:t>I och inom 2 meter från avverkningsanmälan finns fynd av 7 naturvårdsarter, varav 3 är rödlistade, 4 är fridlysta, 3 är typiska (T) och 2 är signalarter (S): gammelgransskål (NT, T), mindre hackspett (NT, T, §4), talltita (NT, §4), björksplintborre (S), vedticka (S, T),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