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2913-2024 i Skellefteå kommun</w:t>
      </w:r>
    </w:p>
    <w:p>
      <w:r>
        <w:t>Detta klagomål behandlar höga naturvärden i samrådsanmälan S 2913-2024 i Skellefteå kommun som inkom 2024-07-31 och omfattar 70,8 ha.</w:t>
      </w:r>
    </w:p>
    <w:p>
      <w:pPr>
        <w:pStyle w:val="Caption"/>
      </w:pPr>
      <w:r>
        <w:drawing>
          <wp:inline xmlns:a="http://schemas.openxmlformats.org/drawingml/2006/main" xmlns:pic="http://schemas.openxmlformats.org/drawingml/2006/picture">
            <wp:extent cx="5224856" cy="5724000"/>
            <wp:docPr id="1" name="Picture 1"/>
            <wp:cNvGraphicFramePr>
              <a:graphicFrameLocks noChangeAspect="1"/>
            </wp:cNvGraphicFramePr>
            <a:graphic>
              <a:graphicData uri="http://schemas.openxmlformats.org/drawingml/2006/picture">
                <pic:pic>
                  <pic:nvPicPr>
                    <pic:cNvPr id="0" name="S 2913-2024 karta.png"/>
                    <pic:cNvPicPr/>
                  </pic:nvPicPr>
                  <pic:blipFill>
                    <a:blip r:embed="rId16"/>
                    <a:stretch>
                      <a:fillRect/>
                    </a:stretch>
                  </pic:blipFill>
                  <pic:spPr>
                    <a:xfrm>
                      <a:off x="0" y="0"/>
                      <a:ext cx="5224856"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7183456, E 733086 i SWEREF 99 TM.</w:t>
      </w:r>
    </w:p>
    <w:p>
      <w:r>
        <w:t>I och inom 23 meter från samrådsanmälan finns fynd av 18 naturvårdsarter, varav 15 är rödlistade, 2 är fridlysta, 13 är typiska (T) och 2 är signalarter (S): blackticka (VU), gränsticka (VU, T), ulltickeporing (VU), doftskinn (NT, T), gammelgransskål (NT, T), gröntagging (NT), harticka (NT, T), kötticka (NT), lavskrika (NT, T, §4), lunglav (NT, T), rosenticka (NT, T), rynkskinn (NT, T), stjärntagging (NT, T), ullticka (NT, T), äggvaxskivling (NT), trådticka (S, 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Gröntagging (NT) </w:t>
      </w:r>
      <w:r>
        <w:t>förekommer i äldre grandominerad blandskog men ekologin är fortfarande något oklar. Dock verkar arten fodra växtplatser med hög luftfuktighet och mycket död ved och kontinuitet i träd- och buskskikt, miljöer som minskar i landskapet. Arten är sällsynt och kan missgynnas av att ett alltför ensidigt skogsbruk gynnar barrträd och att därför näringsrika blandskogar försvinner. Några av artens växtplatser bör skyddas och inventeras för att klarlägga artens ekologi och de lokala populationernas storlek och dynamik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