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42687-2022 i Skellefteå kommun</w:t>
      </w:r>
    </w:p>
    <w:p>
      <w:r>
        <w:t>Denna tillsynsbegäran behandlar höga naturvärden i avverkningsanmälan A 42687-2022 i Skellefteå kommun som inkom 2022-09-27 och omfattar 2,7 ha.</w:t>
      </w:r>
    </w:p>
    <w:p>
      <w:pPr>
        <w:pStyle w:val="Caption"/>
      </w:pPr>
      <w:r>
        <w:drawing>
          <wp:inline xmlns:a="http://schemas.openxmlformats.org/drawingml/2006/main" xmlns:pic="http://schemas.openxmlformats.org/drawingml/2006/picture">
            <wp:extent cx="5486400" cy="5148920"/>
            <wp:docPr id="1" name="Picture 1"/>
            <wp:cNvGraphicFramePr>
              <a:graphicFrameLocks noChangeAspect="1"/>
            </wp:cNvGraphicFramePr>
            <a:graphic>
              <a:graphicData uri="http://schemas.openxmlformats.org/drawingml/2006/picture">
                <pic:pic>
                  <pic:nvPicPr>
                    <pic:cNvPr id="0" name="A 42687-2022 karta.png"/>
                    <pic:cNvPicPr/>
                  </pic:nvPicPr>
                  <pic:blipFill>
                    <a:blip r:embed="rId16"/>
                    <a:stretch>
                      <a:fillRect/>
                    </a:stretch>
                  </pic:blipFill>
                  <pic:spPr>
                    <a:xfrm>
                      <a:off x="0" y="0"/>
                      <a:ext cx="5486400" cy="5148920"/>
                    </a:xfrm>
                    <a:prstGeom prst="rect"/>
                  </pic:spPr>
                </pic:pic>
              </a:graphicData>
            </a:graphic>
          </wp:inline>
        </w:drawing>
      </w:r>
    </w:p>
    <w:p>
      <w:pPr>
        <w:pStyle w:val="Caption"/>
        <w:spacing w:after="240"/>
      </w:pPr>
      <w:r>
        <w:t>Figur 1. Fyndplatser för naturvårdsarter i och inom 12 meter från avverkningsanmälan. Markörer utan svart kant är placerade på fyndplatsen. Markörer med svart kant är placerade vid sidan av fyndplatsen och har ett svart streck som visar fyndplatsens exakta position. Kartans mittpunktskoordinat är N 7147733, E 803702 i SWEREF 99 TM.</w:t>
      </w:r>
    </w:p>
    <w:p>
      <w:r>
        <w:t>I och inom 12 meter från avverkningsanmälan finns fynd av 4 naturvårdsarter, varav 3 är rödlistade, 4 är typiska (T) och 1 är signalart (S): motaggsvamp (NT, T), stjärntagging (NT, T), ullticka (NT, T) och vedticka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Stjärntagging (NT)</w:t>
      </w:r>
      <w:r>
        <w:t xml:space="preserve"> signalerar inom hela sitt utbredningsområde höga naturvärden. Svampen är uttorkningskänslig och beroende av ett oförändrat fuktigt mikroklimat. Den är även beroende av en ständig tillgång på död ved i olika nedbrytningsstadier, dock ej nödvändigtvis grova träd. Tidigare påverkan på miljön måste dock ha varit så skonsam att det naturliga skogsekosystemet till stora delar har bevarats. Minskningstakten för den svenska populationen bedöms vara nära gränsvärdet för Sårbar (VU). Stjärntagging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