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53616-2023 i Skellefteå kommun</w:t>
      </w:r>
    </w:p>
    <w:p>
      <w:r>
        <w:t>Detta dokument behandlar höga naturvärden i avverkningsanmälan A 53616-2023 i Skellefteå kommun. Denna avverkningsanmälan inkom 2023-10-31 och omfattar 29,6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och rödlistade arter.</w:t>
      </w:r>
    </w:p>
    <w:p>
      <w:pPr>
        <w:pStyle w:val="Heading1"/>
      </w:pPr>
      <w:r>
        <w:t>Naturvårdsarter</w:t>
      </w:r>
    </w:p>
    <w:p>
      <w:r>
        <w:t>I avverkningsanmälan har följande 37 naturvårdsarter hittats: tornseglare (EN, §4), urskogsporing (EN), fläckporing (VU), gräddporing (VU), smalfotad taggsvamp (VU), spadskinn (VU), tajgataggsvamp (VU), tallgråticka (VU), torrmusseron (VU), ulltickeporing (VU), blå taggsvamp (NT), dvärgbägarlav (NT), gammelgransskål (NT), garnlav (NT), granticka (NT), gränsticka (NT), motaggsvamp (NT), mörk kolflarnlav (NT), nordtagging (NT), orange taggsvamp (NT), skrovlig taggsvamp (NT), spillkråka (NT, §4), svart taggsvamp (NT), tallriska (NT), talltaggsvamp (NT), tallticka (NT), talltita (NT, §4), ullticka (NT), vaddporing (NT), dropptaggsvamp (S), fjällig taggsvamp s.str. (S), gullgröppa (S), plattlummer (S, §9), skarp dropptaggsvamp (S), trådticka (S), vedticka (S) och lavskrika (§4). Av dessa är 29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473490"/>
            <wp:docPr id="1" name="Picture 1"/>
            <wp:cNvGraphicFramePr>
              <a:graphicFrameLocks noChangeAspect="1"/>
            </wp:cNvGraphicFramePr>
            <a:graphic>
              <a:graphicData uri="http://schemas.openxmlformats.org/drawingml/2006/picture">
                <pic:pic>
                  <pic:nvPicPr>
                    <pic:cNvPr id="0" name="A 53616-2023 karta.png"/>
                    <pic:cNvPicPr/>
                  </pic:nvPicPr>
                  <pic:blipFill>
                    <a:blip r:embed="rId16"/>
                    <a:stretch>
                      <a:fillRect/>
                    </a:stretch>
                  </pic:blipFill>
                  <pic:spPr>
                    <a:xfrm>
                      <a:off x="0" y="0"/>
                      <a:ext cx="5486400" cy="347349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7151385, E 746477 i SWEREF 99 TM.</w:t>
      </w:r>
    </w:p>
    <w:p>
      <w:r>
        <w:rPr>
          <w:b/>
        </w:rPr>
        <w:t>Fläckporing (VU)</w:t>
      </w:r>
      <w:r>
        <w:t xml:space="preserve"> är en mycket bra signalart som visar på tallnaturskogar med höga naturvärden. Den är placerad högst upp i Skogsstyrelsens värdepyramid för bedömning av skog med höga naturvärden och indikerar områden som är mer eller mindre opåverkade av skogsbruk och där det funnits en kontinuitet av tallågor i olika nedbrytningsstadier. För att på lång sikt bibehålla livskraftiga populationer i ett område behövs troligen större skyddade områden som tillåter att man upprätthåller en naturlig branddynamik (SLU Artdatabanken, 2024; Nitare &amp; Skogsstyrelsen, 2019).</w:t>
      </w:r>
    </w:p>
    <w:p>
      <w:r>
        <w:rPr>
          <w:b/>
        </w:rPr>
        <w:t>Gräddporing (VU)</w:t>
      </w:r>
      <w:r>
        <w:t xml:space="preserve"> växer nästan enbart i urskogsartad barrskog på gamla, kraftigt murkna, grova och mossbelupna tallågor i något fuktiga och skuggiga lägen. Arten är placerad högst upp i Skogsstyrelsens värdepyramid för bedömning av skog med höga naturvärden och indikerar gamla och relativt orörda tallnaturskogar med höga naturvärden där det under låg tid kontinuerligt funnits inslag av grova tallågor. För att på sikt hejda artens vikande trend behöver merparten av gräddporingens nu kända växtplatser undantas från skogsbruk (SLU Artdatabanken, 2024; Nitare &amp; Skogsstyrelsen, 2019).</w:t>
      </w:r>
    </w:p>
    <w:p>
      <w:r>
        <w:rPr>
          <w:b/>
        </w:rPr>
        <w:t>Gränsticka (NT)</w:t>
      </w:r>
      <w:r>
        <w:t xml:space="preserve"> är en mycket bra signalart inom hela sitt utbredningsområde. Den är huvudsakligen knuten till restbestånd av barrnaturskog och förekommer med ett tydligt optimum i orörda eller måttligt påverkade gamla granskogar där det föreligger långvarig kontinuitet av grov död ved. Lokaler som hyser arten, speciellt i mellersta och södra Sverige, bör undantas från skogsbruk (SLU Artdatabanken, 2024; Nitare &amp; Skogsstyrelsen, 2019).</w:t>
      </w:r>
    </w:p>
    <w:p>
      <w:r>
        <w:rPr>
          <w:b/>
        </w:rPr>
        <w:t>Smalfotad taggsvamp (VU)</w:t>
      </w:r>
      <w:r>
        <w:t>, rödlistad som sårbar, växer på marken under lågor eller fallna stubbar i brandpräglad torr tallskog med lång kontinuitet. Arten är starkt associerad till kolad ved från tallar som sannolikt varit med om flera historiska skogsbränder. Detta är en process som kan ta många hundra år och det tar således mycket lång tid att återskapa lämpliga substrat. Smalfotad taggsvamp är placerad i toppen av Skogsstyrelsens värdepyramid för bedömning av skog med höga naturvärden samt globalt rödlistad som sårbar (VU) vilket innebär att Sverige har ett internationellt ansvar för arten (IUCN Redlist, 2024; Nitare &amp; Skogsstyrelsen, 2019; SLU Artdatabanken, 2024).</w:t>
      </w:r>
    </w:p>
    <w:p>
      <w:r>
        <w:rPr>
          <w:b/>
        </w:rPr>
        <w:t xml:space="preserve">Ulltickeporing </w:t>
      </w:r>
      <w:r>
        <w:rPr>
          <w:b/>
          <w:i/>
        </w:rPr>
        <w:t>Skeletocutis brevispora</w:t>
      </w:r>
      <w:r>
        <w:rPr>
          <w:b/>
        </w:rPr>
        <w:t xml:space="preserve"> (VU)</w:t>
      </w:r>
      <w:r>
        <w:t>, rödlistad som sårbar, växer på ullticka (NT) i naturskogsartade granskogar. Avverkning av naturskogslika miljöer och av grova granar där ulltickeporing förekommer är ett direkt hot mot artens fortlevnad. Alla skogliga åtgärder som innebär att lågor och döda eller skadade träd tas bort missgynnar arten. På sikt är minskad tillgång till lämpligt substrat och krympande areal av naturskog ett hot, framförallt råder brist på grov ved som lågor i sena nedbrytningsstadier. Ytterligare fragmentering av skogslandskapet minskar artens möjligheter till spridning. Gamla granskogar som hyser arten undantas helt från skogsbruk (SLU Artdatabanken, 2024).</w:t>
      </w:r>
    </w:p>
    <w:p>
      <w:pPr>
        <w:pStyle w:val="Heading1"/>
      </w:pPr>
      <w:r>
        <w:t>Fridlysta arter</w:t>
      </w:r>
    </w:p>
    <w:p>
      <w:r>
        <w:t>Följande fridlysta arter har sina livsmiljöer och växtplatser i den avverkningsanmälda skogen: tornseglare (EN, §4), spillkråka (NT, §4), talltita (NT, §4), plattlummer (S, §9) och lavskrika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Lavskrika (§4)</w:t>
      </w:r>
      <w:r>
        <w:t>, prioriterad art i Skogsvårdslagen, är en mycket stationär fågel, som häckar i äldre, slutna och hänglavsrika barrskogar. Reviren är livslånga med hemområden som varierar mellan 50 och 150 ha. Inom ett revir av hög kvalitet finns det som regel ett eller flera kärnområden (1–20 ha) med relativt tät flerskiktad granskog. Arten missgynnas när flerskiktad skog omförs till enskiktade bestånd och även röjning och hård gallring är starkt negativt. Lavskrikan har relativt stora hemområden och försvinner när den äldre skogen fragmenteras, särskilt allvarligt är när kärnområdena avverkas. (Skogsstyrelsen 2016). Populationen har minskat med 20–40 % de senaste 30 åren. Arten försvinner successivt framför allt vid dess utbredningsgränser (SLU Artdatabanken, 2021).</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t>I BILAGA 1 finns mer detaljerad information om ekologi samt krav på livsmiljö hos fridlysta arter.</w:t>
      </w:r>
    </w:p>
    <w:p>
      <w:r>
        <w:br w:type="page"/>
      </w:r>
    </w:p>
    <w:p>
      <w:pPr>
        <w:pStyle w:val="Title"/>
      </w:pPr>
      <w:r>
        <w:t>BILAGA 1 –</w:t>
        <w:br/>
        <w:t>Fridlysta och rödlistade arter</w:t>
      </w:r>
    </w:p>
    <w:p>
      <w:pPr>
        <w:pStyle w:val="Heading1"/>
      </w:pPr>
      <w:r>
        <w:t>Lavskrika – ekologi samt krav på livsmiljön</w:t>
      </w:r>
    </w:p>
    <w:p>
      <w:r>
        <w:t>Lavskrikan är fridlyst enligt 4 § artskyddsförordningen (2007:845) och ingår i förteckningen över prioriterade arter i Skogsstyrelsens föreskrifter och allmänna råd (SKSFS 2011:7) bilaga 4.</w:t>
      </w:r>
    </w:p>
    <w:p>
      <w:r>
        <w:t xml:space="preserve">I Skogsstyrelsens vägledning för hänsyn till fåglar står bland annat att: </w:t>
      </w:r>
      <w:r>
        <w:rPr>
          <w:i/>
        </w:rPr>
        <w:t>“Reviren är livslånga med hemområden som varierar mellan 50 och 150 ha. Hemområdena har inga fasta gränser utan det handlar mera om de yttre gränserna för familjegruppernas rörelser. Lavskrikan undviker att förflytta sig över stora öppna områden och hemområdesstorleken är därför större i områden fragmenterade av hyggen och yngre skog än i områden med i sammanhängande äldre skog. Det finns studier som antyder att det inom ett revir bör finnas maximalt 15 % öppna ytor och ungskog. Inom ett revir av hög kvalitet finns det som regel ett eller flera kärnområden (1–20 ha) med relativt tät flerskiktad granskog.”</w:t>
      </w:r>
      <w:r>
        <w:t xml:space="preserve"> Vidare att: </w:t>
      </w:r>
      <w:r>
        <w:rPr>
          <w:i/>
        </w:rPr>
        <w:t>“Arten missgynnas när flerskiktad skog omförs till enskiktade bestånd. Även skogsskötsel med återkommande röjning och hård gallring är starkt negativt. Lavskrikan har relativt stora hemområden och försvinner när den äldre skogen fragmenteras, särskilt allvarligt är när kärnområdena avverkas.”</w:t>
      </w:r>
      <w:r>
        <w:t xml:space="preserve"> (Skogsstyrelsen 2016).</w:t>
      </w:r>
    </w:p>
    <w:p>
      <w:r>
        <w:t>Populationen har minskat med 20–40 % de senaste 30 åren, men i Svensk Fågeltaxerings standardrutter varierar antalet kraftigt och ingen minskning kan skönjas de senaste 18 åren. Arten försvinner successivt framför allt vid dess utbredningsgränser (SLU Artdatabanken, 2022).</w:t>
      </w:r>
    </w:p>
    <w:p>
      <w:pPr>
        <w:pStyle w:val="Heading2"/>
      </w:pPr>
      <w:r>
        <w:t>Referenser – lavskrika</w:t>
      </w:r>
    </w:p>
    <w:p>
      <w:r>
        <w:t xml:space="preserve">Skogsstyrelsen, 2016. </w:t>
      </w:r>
      <w:r>
        <w:rPr>
          <w:i/>
        </w:rPr>
        <w:t xml:space="preserve">Vägledning för hänsyn till fåglar – lavskrika. </w:t>
      </w:r>
      <w:r>
        <w:t>https://www.skogsstyrelsen.se/globalassets/lag-och-tillsyn/artskydd/vagledningar-for-hansyn-till-faglar/lavskrika-vagledning-hansyn.pdf</w:t>
      </w:r>
    </w:p>
    <w:p>
      <w:r>
        <w:t xml:space="preserve">SLU Artdatabanken, 2021. </w:t>
      </w:r>
      <w:r>
        <w:rPr>
          <w:i/>
        </w:rPr>
        <w:t xml:space="preserve">Artfaktablad. Naturvård – artfakta. </w:t>
      </w:r>
      <w:r>
        <w:t>SLU Artdatabanken, Uppsala</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p>
      <w:pPr>
        <w:pStyle w:val="Heading1"/>
      </w:pPr>
      <w:r>
        <w:t>Talltita – ekologi samt krav på livsmiljön</w:t>
      </w:r>
    </w:p>
    <w:p>
      <w:r>
        <w:t xml:space="preserve">Talltita är rödlistad som NT, fridlyst och prioriterad art i Skogsvårdslagen. Den omfattas av EU:s fågeldirektiv. Arten har minskat kraftigt de senaste 30 åren och minskningstakten innevarande 10-årsperiod beräknas till 20 (10–30) % (SLU Artdatabanken, 2022). </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 xml:space="preserve">For. Ecol. Manage. 319, 169–175. </w:t>
      </w:r>
    </w:p>
    <w:p>
      <w:r>
        <w:t xml:space="preserve">Ekman, J., 1979. </w:t>
      </w:r>
      <w:r>
        <w:rPr>
          <w:i/>
        </w:rPr>
        <w:t xml:space="preserve">Coherence, composition and territories of winter social groups of the Willow Tit Parus montanus and the Crested Tit P. cristatus. </w:t>
      </w:r>
      <w:r>
        <w:t xml:space="preserve">Ornis Scandinavica, 10, pp 56–68 </w:t>
      </w:r>
    </w:p>
    <w:p>
      <w:r>
        <w:t xml:space="preserve">Griesser, M., Nystrand, M., Eggers, S., Ekman, J., 2007. </w:t>
      </w:r>
      <w:r>
        <w:rPr>
          <w:i/>
        </w:rPr>
        <w:t xml:space="preserve">Impact of forestry practices on fitness correlates and population productivity in an open-nesting bird species. </w:t>
      </w:r>
      <w:r>
        <w:t xml:space="preserve">Conserv. Biol. 21, 767–774. https://doi.org/10.1111/j.1523- 1739.2007.00675.x </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p>
      <w:r>
        <w:t>Ulltickeporing – ekologi samt krav på livsmiljön</w:t>
      </w:r>
    </w:p>
    <w:p>
      <w:r>
        <w:t xml:space="preserve">Ulltickeporing </w:t>
      </w:r>
      <w:r>
        <w:rPr>
          <w:i/>
        </w:rPr>
        <w:t>Skeletocutis brevispora</w:t>
      </w:r>
      <w:r>
        <w:t xml:space="preserve"> (VU), rödlistad som sårbar, växer på ullticka (NT) i naturskogsartade granskogar. Avverkning av naturskogslika miljöer och av grova granar där ulltickeporing förekommer är ett direkt hot mot artens fortlevnad Alla skogliga åtgärder som innebär att lågor och döda eller skadade träd tas bort missgynnar arten. På sikt är minskad tillgång till lämpligt substrat och krympande areal av naturskog ett hot, framförallt råder brist på grov ved som lågor i sena nedbrytningsstadier. Ytterligare fragmentering av skogslandskapet minskar artens möjligheter till spridning. Gamla granskogar som hyser arten undantas helt från skogsbruk (SLU Artdatabanken, 2024).</w:t>
      </w:r>
    </w:p>
    <w:p>
      <w:r>
        <w:t xml:space="preserve">Ulltickeporingen har nyligen delats upp i tre olika arter: </w:t>
      </w:r>
      <w:r>
        <w:rPr>
          <w:i/>
        </w:rPr>
        <w:t xml:space="preserve">Skeletocutis brevispora </w:t>
      </w:r>
      <w:r>
        <w:t>(ulltickeporing)</w:t>
      </w:r>
      <w:r>
        <w:rPr>
          <w:i/>
        </w:rPr>
        <w:t>, Skeletocutis delicata och Skeletocutis exilis</w:t>
      </w:r>
      <w:r>
        <w:t xml:space="preserve"> (Miettinen &amp; Niemelä, 2018). Skeletocutis delicata och Skeletocutis exilis står för närvarande (2020) som ej bedömda i rödlistan.</w:t>
      </w:r>
    </w:p>
    <w:p>
      <w:pPr>
        <w:pStyle w:val="Heading2"/>
      </w:pPr>
      <w:r>
        <w:t>Referenser – ulltickeporing</w:t>
      </w:r>
    </w:p>
    <w:p>
      <w:r>
        <w:t xml:space="preserve">Miettinen, O. &amp; Niemelä, T., 2018. </w:t>
      </w:r>
      <w:r>
        <w:rPr>
          <w:i/>
        </w:rPr>
        <w:t>Two new temperate polypore species of Skeletocutis (Polyporales, Basidiomycota)</w:t>
      </w:r>
      <w:r>
        <w:t>. Ann. Bot. Fennici 55: 195–206.</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2025-03-26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