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28450-2023 i Skellefteå kommun</w:t>
      </w:r>
    </w:p>
    <w:p>
      <w:r>
        <w:t>Detta dokument behandlar höga naturvärden i avverkningsanmälan A 28450-2023 i Skellefteå kommun. Denna avverkningsanmälan inkom 2023-06-26 och omfattar 24,1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24 naturvårdsarter hittats: knärot (VU, §8), rynkskinn (VU), ulltickeporing (VU), gammelgransskål (NT), garnlav (NT), granticka (NT), gränsticka (NT), Leptoporus mollis (NT), lunglav (NT), rosenticka (NT), spillkråka (NT, §4), stjärntagging (NT), talltita (NT, §4), tretåig hackspett (NT, §4), ullticka (NT), violettgrå tagellav (NT), bronshjon (S), grönpyrola (S), rödgul trumpetsvamp (S), skinnlav (S), spindelblomster (S, §8), vedticka (S), vågbandad barkbock (S) och fläcknycklar (§8). Av dessa är 16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49447"/>
            <wp:docPr id="1" name="Picture 1"/>
            <wp:cNvGraphicFramePr>
              <a:graphicFrameLocks noChangeAspect="1"/>
            </wp:cNvGraphicFramePr>
            <a:graphic>
              <a:graphicData uri="http://schemas.openxmlformats.org/drawingml/2006/picture">
                <pic:pic>
                  <pic:nvPicPr>
                    <pic:cNvPr id="0" name="A 28450-2023 karta.png"/>
                    <pic:cNvPicPr/>
                  </pic:nvPicPr>
                  <pic:blipFill>
                    <a:blip r:embed="rId16"/>
                    <a:stretch>
                      <a:fillRect/>
                    </a:stretch>
                  </pic:blipFill>
                  <pic:spPr>
                    <a:xfrm>
                      <a:off x="0" y="0"/>
                      <a:ext cx="5486400" cy="44494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7145894, E 768620 i SWEREF 99 TM.</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pPr>
        <w:pStyle w:val="Heading1"/>
      </w:pPr>
      <w:r>
        <w:t>Fridlysta arter</w:t>
      </w:r>
    </w:p>
    <w:p>
      <w:r>
        <w:t>Följande fridlysta arter har sina livsmiljöer och växtplatser i den avverkningsanmälda skogen: knärot (VU, §8), spillkråka (NT, §4), talltita (NT, §4), tretåig hackspett (NT, §4), spindelblomster (S, §8)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54 fyndplatser för knärot registrerade på Artportalen. Figur 2 visar gränserna för buffertzoner på 50 m, som behöver lämnas kring fyndplatserna för att knärotslokalerna inte ska försvinna vid en avverkning. Av det avverkningsanmälda området överlappar 9.69 ha med buffertzonerna och får av detta skäl inte avverkas.</w:t>
      </w:r>
    </w:p>
    <w:p>
      <w:pPr>
        <w:pStyle w:val="Caption"/>
      </w:pPr>
      <w:r>
        <w:drawing>
          <wp:inline xmlns:a="http://schemas.openxmlformats.org/drawingml/2006/main" xmlns:pic="http://schemas.openxmlformats.org/drawingml/2006/picture">
            <wp:extent cx="5486400" cy="5420360"/>
            <wp:docPr id="2" name="Picture 2"/>
            <wp:cNvGraphicFramePr>
              <a:graphicFrameLocks noChangeAspect="1"/>
            </wp:cNvGraphicFramePr>
            <a:graphic>
              <a:graphicData uri="http://schemas.openxmlformats.org/drawingml/2006/picture">
                <pic:pic>
                  <pic:nvPicPr>
                    <pic:cNvPr id="0" name="A 28450-2023 karta knärot.png"/>
                    <pic:cNvPicPr/>
                  </pic:nvPicPr>
                  <pic:blipFill>
                    <a:blip r:embed="rId17"/>
                    <a:stretch>
                      <a:fillRect/>
                    </a:stretch>
                  </pic:blipFill>
                  <pic:spPr>
                    <a:xfrm>
                      <a:off x="0" y="0"/>
                      <a:ext cx="5486400" cy="542036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7145894, E 768620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23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24 naturvårdsarter varav 16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t xml:space="preserve">Ulltickeporingen har nyligen delats upp i tre olika arter: </w:t>
      </w:r>
      <w:r>
        <w:rPr>
          <w:i/>
        </w:rPr>
        <w:t xml:space="preserve">Skeletocutis brevispora </w:t>
      </w:r>
      <w:r>
        <w:t>(ulltickeporing)</w:t>
      </w:r>
      <w:r>
        <w:rPr>
          <w:i/>
        </w:rPr>
        <w:t>, Skeletocutis delicata och Skeletocutis exilis</w:t>
      </w:r>
      <w:r>
        <w:t xml:space="preserve"> (Miettinen &amp; Niemelä, 2018). Skeletocutis delicata och Skeletocutis exilis står för närvarande (2020) som ej bedömda i rödlistan.</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2025-03-10</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