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24078-2025 i Skellefteå kommun</w:t>
      </w:r>
    </w:p>
    <w:p>
      <w:r>
        <w:t>Detta klagomål behandlar höga naturvärden i avverkningsanmälan A 24078-2025 i Skellefteå kommun som inkom 2025-05-19 och omfattar 6,7 ha.</w:t>
      </w:r>
    </w:p>
    <w:p>
      <w:pPr>
        <w:pStyle w:val="Caption"/>
      </w:pPr>
      <w:r>
        <w:drawing>
          <wp:inline xmlns:a="http://schemas.openxmlformats.org/drawingml/2006/main" xmlns:pic="http://schemas.openxmlformats.org/drawingml/2006/picture">
            <wp:extent cx="5359344" cy="5724000"/>
            <wp:docPr id="1" name="Picture 1"/>
            <wp:cNvGraphicFramePr>
              <a:graphicFrameLocks noChangeAspect="1"/>
            </wp:cNvGraphicFramePr>
            <a:graphic>
              <a:graphicData uri="http://schemas.openxmlformats.org/drawingml/2006/picture">
                <pic:pic>
                  <pic:nvPicPr>
                    <pic:cNvPr id="0" name="A 24078-2025 karta.png"/>
                    <pic:cNvPicPr/>
                  </pic:nvPicPr>
                  <pic:blipFill>
                    <a:blip r:embed="rId16"/>
                    <a:stretch>
                      <a:fillRect/>
                    </a:stretch>
                  </pic:blipFill>
                  <pic:spPr>
                    <a:xfrm>
                      <a:off x="0" y="0"/>
                      <a:ext cx="535934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7232701, E 753988 i SWEREF 99 TM.</w:t>
      </w:r>
    </w:p>
    <w:p>
      <w:r>
        <w:t>I och inom 21 meter från avverkningsanmälan finns fynd av 19 naturvårdsarter, varav 15 är rödlistade, 3 är fridlysta, 12 är typiska (T) och 3 är signalarter (S): kolticka (CR), urskogsporing (EN), garnlav (VU, T), blanksvart spiklav (NT), blå taggsvamp (NT, T), blågrå svartspik (NT), dropptaggsvamp (NT, T), dvärgbägarlav (NT, T), kolflarnlav (NT, T), lavskrika (NT, T, §4), nordtagging (NT), stjärntagging (NT, T), talltita (NT, §4), vedflamlav (NT), vedskivlav (NT, T), luddlav (S, T), nästlav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