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42552-2022 i Arvidsjaurs kommun</w:t>
      </w:r>
    </w:p>
    <w:p>
      <w:r>
        <w:t>Detta dokument behandlar höga naturvärden i avverkningsanmälan A 42552-2022 i Arvidsjaurs kommun. Denna avverkningsanmälan inkom 2022-09-27 och omfattar 13,4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17 naturvårdsarter hittats: blå taggsvamp (NT), garnlav (NT), knottrig blåslav (NT), kolflarnlav (NT), motaggsvamp (NT), nordlig nållav (NT), nordtagging (NT), orange taggsvamp (NT), skrovlig taggsvamp (NT), svartvit taggsvamp (NT), talltaggsvamp (NT), vaddporing (NT), vedskivlav (NT), bronshjon (S), dropptaggsvamp (S), plattlummer (S, §9) och skarp dropptaggsvamp (S). Av dessa är 13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20329"/>
            <wp:docPr id="1" name="Picture 1"/>
            <wp:cNvGraphicFramePr>
              <a:graphicFrameLocks noChangeAspect="1"/>
            </wp:cNvGraphicFramePr>
            <a:graphic>
              <a:graphicData uri="http://schemas.openxmlformats.org/drawingml/2006/picture">
                <pic:pic>
                  <pic:nvPicPr>
                    <pic:cNvPr id="0" name="A 42552-2022 karta.png"/>
                    <pic:cNvPicPr/>
                  </pic:nvPicPr>
                  <pic:blipFill>
                    <a:blip r:embed="rId16"/>
                    <a:stretch>
                      <a:fillRect/>
                    </a:stretch>
                  </pic:blipFill>
                  <pic:spPr>
                    <a:xfrm>
                      <a:off x="0" y="0"/>
                      <a:ext cx="5486400" cy="44203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7299362, E 703194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Nordlig nållav (NT)</w:t>
      </w:r>
      <w:r>
        <w:t xml:space="preserve"> signalerar alltid miljöer med höga naturvärden. På lokalerna förekommer nästan alltid andra rödlistade eller ovanliga arter knutna till gamla skogar. Alla skogsskötselåtgärder på eller i omedelbar närhet av lokalerna utgör ett hot. Några av lavens rikaste förekomster bör skyddas (SLU Artdatabanken, 2024; Nitare &amp; Skogsstyrelsen, 2019).</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r>
        <w:rPr>
          <w:b/>
        </w:rPr>
        <w:t xml:space="preserve">Talltaggsvamp (NT) </w:t>
      </w:r>
      <w:r>
        <w:t>förekommer främst i tallnaturskogar eller tallskogar av kontinuitetsskogskaraktär där den bildar mykorrhiza med tall. Särskilt frekvent är den i sandtallskogar med inslag av gamla träd, t.ex. på grusåsar, stränder och sandhedar. Arten hotas främst av skogsavverkning och tycks försvinna efter slutavverkning, markberedning och plantering. Talltaggsvamp är globalt rödlistad som nära hotad (NT) vilket innebär att Sverige har ett internationellt ansvar för arten (IUCN, 2025; SLU Artdatabanken, 2024).</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plattlummer (S,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17 naturvårdsarter varav 13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