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32004-2026 i Arvidsjaurs kommun</w:t>
      </w:r>
    </w:p>
    <w:p>
      <w:r>
        <w:t>Denna tillsynsbegäran behandlar höga naturvärden i avverkningsanmälan A 32004-2026 i Arvidsjaurs kommun som inkom 2026-07-30 och omfattar 19,3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32004-2026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7322029, E 679636 i SWEREF 99 TM.</w:t>
      </w:r>
    </w:p>
    <w:p>
      <w:r>
        <w:t>I och inom 19 meter från avverkningsanmälan finns fynd av 18 naturvårdsarter, varav 17 är rödlistade, 3 är fridlysta, 11 är typiska (T) och 1 är signalart (S): fläckporing (VU, T), garnlav (VU, T), Lecidea subhumida (VU), blanksvart spiklav (NT), blågrå svartspik (NT), dvärgbägarlav (NT, T), knottrig blåslav (NT, T), lavskrika (NT, T, §4), nordtagging (NT), talltagel (NT, T), talltita (NT, §4), tretåig hackspett (NT, T, §4), ullticka (NT, T), vaddporing (NT), vedflamlav (NT), vedskivlav (NT, T), violmussling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dvärgbägarlav (NT, T), knottrig blåslav (NT, T), lavskrika (NT, T, §4), talltagel (NT, T), tretåig hackspett (NT, T, §4), ullticka (NT, T), vedskivlav (NT, T), violmussling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