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31153-2025 i Arvidsjaurs kommun</w:t>
      </w:r>
    </w:p>
    <w:p>
      <w:r>
        <w:t>Denna tillsynsbegäran behandlar höga naturvärden i avverkningsanmälan A 31153-2025 i Arvidsjaurs kommun som inkom 2025-06-24 och omfattar 15,2 ha.</w:t>
      </w:r>
    </w:p>
    <w:p>
      <w:pPr>
        <w:pStyle w:val="Caption"/>
      </w:pPr>
      <w:r>
        <w:drawing>
          <wp:inline xmlns:a="http://schemas.openxmlformats.org/drawingml/2006/main" xmlns:pic="http://schemas.openxmlformats.org/drawingml/2006/picture">
            <wp:extent cx="5486400" cy="5448693"/>
            <wp:docPr id="1" name="Picture 1"/>
            <wp:cNvGraphicFramePr>
              <a:graphicFrameLocks noChangeAspect="1"/>
            </wp:cNvGraphicFramePr>
            <a:graphic>
              <a:graphicData uri="http://schemas.openxmlformats.org/drawingml/2006/picture">
                <pic:pic>
                  <pic:nvPicPr>
                    <pic:cNvPr id="0" name="A 31153-2025 karta.png"/>
                    <pic:cNvPicPr/>
                  </pic:nvPicPr>
                  <pic:blipFill>
                    <a:blip r:embed="rId16"/>
                    <a:stretch>
                      <a:fillRect/>
                    </a:stretch>
                  </pic:blipFill>
                  <pic:spPr>
                    <a:xfrm>
                      <a:off x="0" y="0"/>
                      <a:ext cx="5486400" cy="544869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7312541, E 697395 i SWEREF 99 TM.</w:t>
      </w:r>
    </w:p>
    <w:p>
      <w:r>
        <w:t>I och inom 25 meter från avverkningsanmälan finns fynd av 30 naturvårdsarter, varav 20 är rödlistade, 10 är fridlysta, 22 är typiska (T) och 5 är signalarter (S): fläckporing (VU, T), garnlav (VU, T), gräddporing (VU, T), knärot (VU, T, §8), norna (VU, T, §7), blanksvart spiklav (NT), blågrå svartspik (NT), dropptaggsvamp (NT, T), dvärgbägarlav (NT, T), knottrig blåslav (NT, T), kolflarnlav (NT, T), mörk kolflarnlav (NT), nordtagging (NT), skuggblåslav (NT, T), tretåig hackspett (NT, T, §4), ullticka (NT, T), vedflamlav (NT), vedskivlav (NT, T), violettgrå tagellav (NT, T), vitgrynig nållav (NT), barkticka (S, T), plattlummer (S, T, §9), spindelblomster (S, T, §8), vedticka (S, T), ögonpyrola (S, T), mattlummer (T, §9), spillkråka (T, §4), tjäder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2.55 ha med buffertzonerna och får av detta skäl inte avverkas.</w:t>
      </w:r>
    </w:p>
    <w:p>
      <w:pPr>
        <w:pStyle w:val="Caption"/>
      </w:pPr>
      <w:r>
        <w:drawing>
          <wp:inline xmlns:a="http://schemas.openxmlformats.org/drawingml/2006/main" xmlns:pic="http://schemas.openxmlformats.org/drawingml/2006/picture">
            <wp:extent cx="5486400" cy="4828409"/>
            <wp:docPr id="2" name="Picture 2"/>
            <wp:cNvGraphicFramePr>
              <a:graphicFrameLocks noChangeAspect="1"/>
            </wp:cNvGraphicFramePr>
            <a:graphic>
              <a:graphicData uri="http://schemas.openxmlformats.org/drawingml/2006/picture">
                <pic:pic>
                  <pic:nvPicPr>
                    <pic:cNvPr id="0" name="A 31153-2025 karta knärot.png"/>
                    <pic:cNvPicPr/>
                  </pic:nvPicPr>
                  <pic:blipFill>
                    <a:blip r:embed="rId17"/>
                    <a:stretch>
                      <a:fillRect/>
                    </a:stretch>
                  </pic:blipFill>
                  <pic:spPr>
                    <a:xfrm>
                      <a:off x="0" y="0"/>
                      <a:ext cx="5486400" cy="48284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7312541, E 697395 i SWEREF 99 TM.</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knärot (VU, T, §8), norna (VU, T, §7), dropptaggsvamp (NT, T), dvärgbägarlav (NT, T), knottrig blåslav (NT, T), kolflarnlav (NT, T), skuggblåslav (NT, T), tretåig hackspett (NT, T, §4), ullticka (NT, T), vedskivlav (NT, T), violettgrå tagellav (NT, T), barkticka (S, T), plattlummer (S, T, §9), spindelblomster (S, T, §8), vedticka (S, T), ögonpyrola (S, T),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