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42552-2022 i Arvidsjaurs kommun</w:t>
      </w:r>
    </w:p>
    <w:p>
      <w:r>
        <w:t>Detta dokument behandlar höga naturvärden i avverkningsanmälan A 42552-2022 i Arvidsjaurs kommun. Denna avverkningsanmälan inkom 2022-09-27 och omfattar 13,4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17 naturvårdsarter hittats: blå taggsvamp (NT), garnlav (NT), knottrig blåslav (NT), kolflarnlav (NT), motaggsvamp (NT), nordlig nållav (NT), nordtagging (NT), orange taggsvamp (NT), skrovlig taggsvamp (NT), svartvit taggsvamp (NT), talltaggsvamp (NT), vaddporing (NT), vedskivlav (NT), bronshjon (S), dropptaggsvamp (S), plattlummer (S, §9) och skarp dropptaggsvamp (S). Av dessa är 13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20329"/>
            <wp:docPr id="1" name="Picture 1"/>
            <wp:cNvGraphicFramePr>
              <a:graphicFrameLocks noChangeAspect="1"/>
            </wp:cNvGraphicFramePr>
            <a:graphic>
              <a:graphicData uri="http://schemas.openxmlformats.org/drawingml/2006/picture">
                <pic:pic>
                  <pic:nvPicPr>
                    <pic:cNvPr id="0" name="A 42552-2022 karta.png"/>
                    <pic:cNvPicPr/>
                  </pic:nvPicPr>
                  <pic:blipFill>
                    <a:blip r:embed="rId16"/>
                    <a:stretch>
                      <a:fillRect/>
                    </a:stretch>
                  </pic:blipFill>
                  <pic:spPr>
                    <a:xfrm>
                      <a:off x="0" y="0"/>
                      <a:ext cx="5486400" cy="44203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7299362, E 703194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Nordlig nållav (NT)</w:t>
      </w:r>
      <w:r>
        <w:t xml:space="preserve"> signalerar alltid miljöer med höga naturvärden. På lokalerna förekommer nästan alltid andra rödlistade eller ovanliga arter knutna till gamla skogar. Alla skogsskötselåtgärder på eller i omedelbar närhet av lokalerna utgör ett hot. Några av lavens rikaste förekomster bör skyddas (SLU Artdatabanken, 2024;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plattlummer (S,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