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54098-2025 i Arvidsjaurs kommun</w:t>
      </w:r>
    </w:p>
    <w:p>
      <w:r>
        <w:t>Denna tillsynsbegäran behandlar höga naturvärden i avverkningsanmälan A 54098-2025 i Arvidsjaurs kommun som inkom 2025-11-03 och omfattar 11,3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54098-2025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7312812, E 715451 i SWEREF 99 TM.</w:t>
      </w:r>
    </w:p>
    <w:p>
      <w:r>
        <w:t>I och inom 24 meter från avverkningsanmälan finns fynd av 9 naturvårdsarter, varav 8 är rödlistade, 2 är fridlysta och 8 är typiska (T): garnlav (VU, T), goliatmusseron (VU, T), duvhök (NT, §4), gammelgransskål (NT, T), knottrig blåslav (NT, T), orange taggsvamp (NT, T), rosenticka (NT,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gammelgransskål (NT, T), knottrig blåslav (NT, T), orange taggsvamp (NT, T), rosenticka (NT, T),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