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36411-2023 i Arvidsjaurs kommun</w:t>
      </w:r>
    </w:p>
    <w:p>
      <w:r>
        <w:t>Detta dokument behandlar höga naturvärden i avverkningsanmälan A 36411-2023 i Arvidsjaurs kommun. Denna avverkningsanmälan inkom 2023-08-14 00:00:00 och omfattar 11,4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tornseglare (EN, §4), fläckporing (VU), gräddporing (VU), jättemusseron (VU), smalfotad taggsvamp (VU), ulltickeporing (VU), blanksvart spiklav (NT), blå taggsvamp (NT), blågrå svartspik (NT), dvärgbägarlav (NT), knottrig blåslav (NT), kolflarnlav (NT), kortskaftad ärgspik (NT), nordtagging (NT), spillkråka (NT, §4), svart taggsvamp (NT), svartvit taggsvamp (NT), talltaggsvamp (NT), tallticka (NT), ullticka (NT), vaddporing (NT), vedflamlav (NT), vedskivlav (NT), violmussling (NT), vitplätt (NT), dropptaggsvamp (S), gullgröppa (S), nästlav (S), plattlummer (S, §9), vedticka (S), tjäder (§4) och vanlig groda (§6).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46153"/>
            <wp:docPr id="1" name="Picture 1"/>
            <wp:cNvGraphicFramePr>
              <a:graphicFrameLocks noChangeAspect="1"/>
            </wp:cNvGraphicFramePr>
            <a:graphic>
              <a:graphicData uri="http://schemas.openxmlformats.org/drawingml/2006/picture">
                <pic:pic>
                  <pic:nvPicPr>
                    <pic:cNvPr id="0" name="A 36411-2023 karta.png"/>
                    <pic:cNvPicPr/>
                  </pic:nvPicPr>
                  <pic:blipFill>
                    <a:blip r:embed="rId16"/>
                    <a:stretch>
                      <a:fillRect/>
                    </a:stretch>
                  </pic:blipFill>
                  <pic:spPr>
                    <a:xfrm>
                      <a:off x="0" y="0"/>
                      <a:ext cx="5486400" cy="374615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7323616, E 696918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Jättemusseron (VU)</w:t>
      </w:r>
      <w:r>
        <w:t xml:space="preserve"> bildar mykorrhiza med tall, i äldre lavtallskog och hällmarkstallskog. Den visar på såväl sandtallskogar som hällmarkstallskogar med långvarig tallkontinuitet och svampen är sannolikt en kvarleva (relikt) på sina samtliga växtplatser. Arten är placerad högst upp i Skogsstyrelsens värdepyramid för bedömning av skog med höga naturvärden och slutavverkning bör tills vidare undvikas i skogsbestånd där arten är känd. Jättemusseron är globalt rödlistad som sårbar (VU) och Sverige och Norge har sannolikt merparten av den europeiska populationen och därmed ett särskilt ansvar för dess bevarande (IUCN, 2025;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spillkråka (NT, §4), plattlummer (S, §9), tjäder (§4)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