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21058-2026 i Arvidsjaurs kommun</w:t>
      </w:r>
    </w:p>
    <w:p>
      <w:r>
        <w:t>Denna tillsynsbegäran behandlar höga naturvärden i avverkningsanmälan A 21058-2026 i Arvidsjaurs kommun som inkom 2026-05-04 och omfattar 0,9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1058-2026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7314607, E 701452 i SWEREF 99 TM.</w:t>
      </w:r>
    </w:p>
    <w:p>
      <w:r>
        <w:t>I och inom 22 meter från avverkningsanmälan finns fynd av 5 naturvårdsarter, varav 3 är rödlistade, 3 är fridlysta och 4 är typiska (T): norna (VU, T, §7), röd trolldruva (NT, T), vedskivlav (NT,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rPr>
          <w:b/>
        </w:rPr>
        <w:t>Röd trolldruva (NT)</w:t>
      </w:r>
      <w:r>
        <w:t xml:space="preserve"> har sin utbredning i övre Norrlands skogsland från Västerbotten upp till Torne lappmark och växer framför allt i frisk-fuktig, vanligen örtrik och mycket artrik granskog på näringsrik mark med rörligt markvatten. Arten är mycket sällsynt och vanligen fåtalig på sina lokaler inom hela sitt svenska utbredningsområde. Slutavverkning kan medföra kraftig decimering eller utslagning av bestånden och det är viktigt att alla lokaler med röd trolldruva undantas från skogsbruk. Röd trolldruva är typisk art för </w:t>
      </w:r>
      <w:r>
        <w:rPr>
          <w:i/>
        </w:rPr>
        <w:t>9050 Näringsrik granskog</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