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61054-2025 i Arvidsjaurs kommun</w:t>
      </w:r>
    </w:p>
    <w:p>
      <w:r>
        <w:t>Detta klagomål behandlar höga naturvärden i avverkningsanmälan A 61054-2025 i Arvidsjaurs kommun som inkom 2025-12-09 och omfattar 18,4 ha.</w:t>
      </w:r>
    </w:p>
    <w:p>
      <w:pPr>
        <w:pStyle w:val="Caption"/>
      </w:pPr>
      <w:r>
        <w:drawing>
          <wp:inline xmlns:a="http://schemas.openxmlformats.org/drawingml/2006/main" xmlns:pic="http://schemas.openxmlformats.org/drawingml/2006/picture">
            <wp:extent cx="5450537" cy="5724000"/>
            <wp:docPr id="1" name="Picture 1"/>
            <wp:cNvGraphicFramePr>
              <a:graphicFrameLocks noChangeAspect="1"/>
            </wp:cNvGraphicFramePr>
            <a:graphic>
              <a:graphicData uri="http://schemas.openxmlformats.org/drawingml/2006/picture">
                <pic:pic>
                  <pic:nvPicPr>
                    <pic:cNvPr id="0" name="A 61054-2025 karta.png"/>
                    <pic:cNvPicPr/>
                  </pic:nvPicPr>
                  <pic:blipFill>
                    <a:blip r:embed="rId16"/>
                    <a:stretch>
                      <a:fillRect/>
                    </a:stretch>
                  </pic:blipFill>
                  <pic:spPr>
                    <a:xfrm>
                      <a:off x="0" y="0"/>
                      <a:ext cx="5450537"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7317861, E 695967 i SWEREF 99 TM.</w:t>
      </w:r>
    </w:p>
    <w:p>
      <w:r>
        <w:t>I avverkningsanmälan finns fynd av 13 naturvårdsarter, varav 10 är rödlistade, 1 är fridlyst, 8 är typiska (T) och 3 är signalarter (S): fläckporing (VU, T), garnlav (VU, T), gräddporing (VU, T), Lecidea subhumida (VU), blågrå svartspik (NT), mörk kolflarnlav (NT), nordtagging (NT), tretåig hackspett (NT, T, §4), vedflamlav (NT), vedskivlav (NT, T), luddlav (S, T), stuplav (S, T) och vedticka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Fläckporing (VU)</w:t>
      </w:r>
      <w:r>
        <w:t xml:space="preserve"> är en mycket bra signalart som visar på tallnaturskogar med höga naturvärden. Den är placerad högst upp i Skogsstyrelsens värdepyramid för bedömning av skog med höga naturvärden och indikerar områden som är mer eller mindre opåverkade av skogsbruk och där det funnits en kontinuitet av tallågor i olika nedbrytningsstadier. För att på lång sikt bibehålla livskraftiga populationer i ett område behövs troligen större skyddade områden som tillåter att man upprätthåller en naturlig branddynamik. Fläckporing är typisk art för </w:t>
      </w:r>
      <w:r>
        <w:rPr>
          <w:i/>
        </w:rPr>
        <w:t>9010 Taiga</w:t>
      </w:r>
      <w:r>
        <w:t xml:space="preserve"> (SLU Artdatabanken, 2024; Nitare &amp; Skogsstyrelsen, 2019).</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Gräddporing är typisk art för </w:t>
      </w:r>
      <w:r>
        <w:rPr>
          <w:i/>
        </w:rPr>
        <w:t>9010 Taiga</w:t>
      </w:r>
      <w:r>
        <w:t xml:space="preserve"> (SLU Artdatabanken, 2024; Nitare &amp; Skogsstyrelsen, 2019).</w:t>
      </w:r>
    </w:p>
    <w:p>
      <w:r>
        <w:rPr>
          <w:b/>
          <w:i/>
        </w:rPr>
        <w:t xml:space="preserve">Lecidea subhumida </w:t>
      </w:r>
      <w:r>
        <w:rPr>
          <w:b/>
        </w:rPr>
        <w:t>(VU)</w:t>
      </w:r>
      <w:r>
        <w:t xml:space="preserve"> är en skivlav som växer på ved (grenar, stam) av gamla tallar i subalpin skog. Arten påverkas negativt av brist på kontinuitetsskog och en minskning av populationen pågår eller förväntas ske. Antalet individer bedöms vara lägre än gränsvärdet för sårbar (VU) (SLU Artdatabanken, 2026).</w:t>
      </w:r>
    </w:p>
    <w:p>
      <w:r>
        <w:rPr>
          <w:b/>
        </w:rPr>
        <w:t>Blågrå svartspik (NT)</w:t>
      </w:r>
      <w:r>
        <w:t xml:space="preserve"> växer på torr, hård ved av gamla, solbelysta torrakor, högstubbar av tall och grova döda grenar på levande tallar i öppna bestånd av naturskogskaraktär. Nästan alltid rör det sig om tjärrika torrträd och högstubbar (töreved, keloträd) som kan vara en bra bit över hundra år, i vissa fall sannolikt hundratals år gamla. Skogsbruk är idag det allvarligaste hotet. Ett långsiktigt hot är att nybildningen av gamla torrakor och högstubbar är en långsam process vilken ofta är beroende av skogsbrand. Nytt substrat bildas numera sannolikt nästan inte alls då antalet naturliga skogsbränder har minskat drastiskt på grund av effektivare brandbekämpning. Döda träd som lämnas efter avverkning är inte lämpliga för arten, eftersom dessa träd inte varit utsatta för skogsbrand och bildat tjärrik ved. Skogsbruksåtgärder på eller i närheten av växtplatserna bör undvikas. Naturskogsartade skogar med förekomst av arten indikerar höga biologiska värden och bör bevaras. Blågrå svartspik har en mycket begränsad utbredning utanför de nordiska länderna varför dessa länder har ett speciellt ansvar för arten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Nordtagging (NT)</w:t>
      </w:r>
      <w:r>
        <w:t xml:space="preserve"> växer främst på tallågor av grövre dimensioner och påträffas huvudsakligen i äldre skog som inte kalavverkats. Nordtaggingen missgynnas av att områden med äldre tallskog har minskat starkt. Bekämpning av skogsbränder, samtidigt som skogsbruket omvandlar naturligt glesa tallbestånd till likartade och betydligt tätare bestånd, har missgynnat arten. Bristen på gamla tallågor utgör på sikt ett allvarligt hot och återskapandet av lämpliga biotoper tar mycket lång tid. Områden med olikåldriga bestånd av tall och med stort inslag av äldre träd bör undantas från skoglig produktion (SLU Artdatabanken, 2024).</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13 naturvårdsarter varav 10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