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26260-2026 i Arvidsjaurs kommun</w:t>
      </w:r>
    </w:p>
    <w:p>
      <w:r>
        <w:t>Detta klagomål behandlar höga naturvärden i avverkningsanmälan A 26260-2026 i Arvidsjaurs kommun som inkom 2026-06-09 och omfattar 19,3 ha.</w:t>
      </w:r>
    </w:p>
    <w:p>
      <w:pPr>
        <w:pStyle w:val="Caption"/>
      </w:pPr>
      <w:r>
        <w:drawing>
          <wp:inline xmlns:a="http://schemas.openxmlformats.org/drawingml/2006/main" xmlns:pic="http://schemas.openxmlformats.org/drawingml/2006/picture">
            <wp:extent cx="5472024" cy="5724000"/>
            <wp:docPr id="1" name="Picture 1"/>
            <wp:cNvGraphicFramePr>
              <a:graphicFrameLocks noChangeAspect="1"/>
            </wp:cNvGraphicFramePr>
            <a:graphic>
              <a:graphicData uri="http://schemas.openxmlformats.org/drawingml/2006/picture">
                <pic:pic>
                  <pic:nvPicPr>
                    <pic:cNvPr id="0" name="A 26260-2026 karta.png"/>
                    <pic:cNvPicPr/>
                  </pic:nvPicPr>
                  <pic:blipFill>
                    <a:blip r:embed="rId16"/>
                    <a:stretch>
                      <a:fillRect/>
                    </a:stretch>
                  </pic:blipFill>
                  <pic:spPr>
                    <a:xfrm>
                      <a:off x="0" y="0"/>
                      <a:ext cx="5472024"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7308138, E 699200 i SWEREF 99 TM.</w:t>
      </w:r>
    </w:p>
    <w:p>
      <w:r>
        <w:t>I och inom 22 meter från avverkningsanmälan finns fynd av 15 naturvårdsarter, varav 10 är rödlistade, 5 är fridlysta, 13 är typiska (T) och 4 är signalarter (S): fläckporing (VU, T), garnlav (VU, T), blanksvart spiklav (NT), dropptaggsvamp (NT, T), knottrig blåslav (NT, T), lunglav (NT, T), stjärntagging (NT, T), talltagel (NT, T), talltita (NT, §4), tretåig hackspett (NT, T, §4), korallrot (S, T, §8), spindelblomster (S, T, §8), stuplav (S, T), vedticka (S,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