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33178-2025 i Arvidsjaurs kommun</w:t>
      </w:r>
    </w:p>
    <w:p>
      <w:r>
        <w:t>Detta klagomål behandlar höga naturvärden i avverkningsanmälan A 33178-2025 i Arvidsjaurs kommun som inkom 2025-07-02 och omfattar 10,9 ha.</w:t>
      </w:r>
    </w:p>
    <w:p>
      <w:pPr>
        <w:pStyle w:val="Caption"/>
      </w:pPr>
      <w:r>
        <w:drawing>
          <wp:inline xmlns:a="http://schemas.openxmlformats.org/drawingml/2006/main" xmlns:pic="http://schemas.openxmlformats.org/drawingml/2006/picture">
            <wp:extent cx="5486400" cy="5397371"/>
            <wp:docPr id="1" name="Picture 1"/>
            <wp:cNvGraphicFramePr>
              <a:graphicFrameLocks noChangeAspect="1"/>
            </wp:cNvGraphicFramePr>
            <a:graphic>
              <a:graphicData uri="http://schemas.openxmlformats.org/drawingml/2006/picture">
                <pic:pic>
                  <pic:nvPicPr>
                    <pic:cNvPr id="0" name="A 33178-2025 karta.png"/>
                    <pic:cNvPicPr/>
                  </pic:nvPicPr>
                  <pic:blipFill>
                    <a:blip r:embed="rId16"/>
                    <a:stretch>
                      <a:fillRect/>
                    </a:stretch>
                  </pic:blipFill>
                  <pic:spPr>
                    <a:xfrm>
                      <a:off x="0" y="0"/>
                      <a:ext cx="5486400" cy="53973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7292252, E 732013 i SWEREF 99 TM.</w:t>
      </w:r>
    </w:p>
    <w:p>
      <w:r>
        <w:t>I avverkningsanmälan finns fynd av 4 naturvårdsarter, varav 2 är rödlistade, 3 är typiska (T) och 2 är signalarter (S): blackticka (VU), lunglav (NT, T), strutbräken (S, T)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