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32812-2025 i Arvidsjaurs kommun</w:t>
      </w:r>
    </w:p>
    <w:p>
      <w:r>
        <w:t>Detta dokument behandlar höga naturvärden i avverkningsanmälan A 32812-2025 i Arvidsjaurs kommun. Denna avverkningsanmälan inkom 2025-07-01 12:23:40 och omfattar 29,7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rödlistade arter.</w:t>
      </w:r>
    </w:p>
    <w:p>
      <w:pPr>
        <w:pStyle w:val="Heading1"/>
      </w:pPr>
      <w:r>
        <w:t>Naturvårdsarter</w:t>
      </w:r>
    </w:p>
    <w:p>
      <w:r>
        <w:t>I avverkningsanmälan har följande 2 naturvårdsarter hittats: doftticka (VU, §8) och lunglav (NT).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10743"/>
            <wp:docPr id="1" name="Picture 1"/>
            <wp:cNvGraphicFramePr>
              <a:graphicFrameLocks noChangeAspect="1"/>
            </wp:cNvGraphicFramePr>
            <a:graphic>
              <a:graphicData uri="http://schemas.openxmlformats.org/drawingml/2006/picture">
                <pic:pic>
                  <pic:nvPicPr>
                    <pic:cNvPr id="0" name="A 32812-2025 karta.png"/>
                    <pic:cNvPicPr/>
                  </pic:nvPicPr>
                  <pic:blipFill>
                    <a:blip r:embed="rId16"/>
                    <a:stretch>
                      <a:fillRect/>
                    </a:stretch>
                  </pic:blipFill>
                  <pic:spPr>
                    <a:xfrm>
                      <a:off x="0" y="0"/>
                      <a:ext cx="5486400" cy="431074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7308588, E 695603 i SWEREF 99 TM.</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pPr>
        <w:pStyle w:val="Heading1"/>
      </w:pPr>
      <w:r>
        <w:t>Fridlysta arter</w:t>
      </w:r>
    </w:p>
    <w:p>
      <w:r>
        <w:t>Följande fridlysta arter har sina livsmiljöer och växtplatser i den avverkningsanmälda skogen: doftticka (VU, §8).</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och är typisk art för </w:t>
      </w:r>
      <w:r>
        <w:rPr>
          <w:i/>
        </w:rPr>
        <w:t>9010 Taiga</w:t>
      </w:r>
      <w:r>
        <w:t xml:space="preserve"> och</w:t>
      </w:r>
      <w:r>
        <w:rPr>
          <w:i/>
        </w:rPr>
        <w:t xml:space="preserve"> 9050 Näringsrik granskog </w:t>
      </w:r>
      <w:r>
        <w:t>(IUCN Redlist, 2024; Nitare &amp; Skogsstyrelsen, 2019; SLU Artdatabanken, 2024).</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