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10555-2026 i Arvidsjaurs kommun</w:t>
      </w:r>
    </w:p>
    <w:p>
      <w:r>
        <w:t>Detta klagomål behandlar höga naturvärden i avverkningsanmälan A 10555-2026 i Arvidsjaurs kommun som inkom 2026-02-24 och omfattar 5,4 ha.</w:t>
      </w:r>
    </w:p>
    <w:p>
      <w:pPr>
        <w:pStyle w:val="Caption"/>
      </w:pPr>
      <w:r>
        <w:drawing>
          <wp:inline xmlns:a="http://schemas.openxmlformats.org/drawingml/2006/main" xmlns:pic="http://schemas.openxmlformats.org/drawingml/2006/picture">
            <wp:extent cx="4392334" cy="5724000"/>
            <wp:docPr id="1" name="Picture 1"/>
            <wp:cNvGraphicFramePr>
              <a:graphicFrameLocks noChangeAspect="1"/>
            </wp:cNvGraphicFramePr>
            <a:graphic>
              <a:graphicData uri="http://schemas.openxmlformats.org/drawingml/2006/picture">
                <pic:pic>
                  <pic:nvPicPr>
                    <pic:cNvPr id="0" name="A 10555-2026 karta.png"/>
                    <pic:cNvPicPr/>
                  </pic:nvPicPr>
                  <pic:blipFill>
                    <a:blip r:embed="rId16"/>
                    <a:stretch>
                      <a:fillRect/>
                    </a:stretch>
                  </pic:blipFill>
                  <pic:spPr>
                    <a:xfrm>
                      <a:off x="0" y="0"/>
                      <a:ext cx="4392334"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7331141, E 698920 i SWEREF 99 TM.</w:t>
      </w:r>
    </w:p>
    <w:p>
      <w:r>
        <w:t>Inom 25 meter från avverkningsanmälan finns fynd av 4 naturvårdsarter, varav 4 är rödlistade och 4 är typiska (T): fläckporing (VU, T), gräddporing (VU, T), dropptaggsvamp (NT,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