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73880-2021 i Arjeplogs kommun</w:t>
      </w:r>
    </w:p>
    <w:p>
      <w:r>
        <w:t>Detta klagomål behandlar höga naturvärden i avverkningsanmälan A 73880-2021 i Arjeplogs kommun som inkom 2021-12-22 och omfattar 11,2 ha.</w:t>
      </w:r>
    </w:p>
    <w:p>
      <w:pPr>
        <w:pStyle w:val="Caption"/>
      </w:pPr>
      <w:r>
        <w:drawing>
          <wp:inline xmlns:a="http://schemas.openxmlformats.org/drawingml/2006/main" xmlns:pic="http://schemas.openxmlformats.org/drawingml/2006/picture">
            <wp:extent cx="4512826" cy="5724000"/>
            <wp:docPr id="1" name="Picture 1"/>
            <wp:cNvGraphicFramePr>
              <a:graphicFrameLocks noChangeAspect="1"/>
            </wp:cNvGraphicFramePr>
            <a:graphic>
              <a:graphicData uri="http://schemas.openxmlformats.org/drawingml/2006/picture">
                <pic:pic>
                  <pic:nvPicPr>
                    <pic:cNvPr id="0" name="A 73880-2021 karta.png"/>
                    <pic:cNvPicPr/>
                  </pic:nvPicPr>
                  <pic:blipFill>
                    <a:blip r:embed="rId16"/>
                    <a:stretch>
                      <a:fillRect/>
                    </a:stretch>
                  </pic:blipFill>
                  <pic:spPr>
                    <a:xfrm>
                      <a:off x="0" y="0"/>
                      <a:ext cx="45128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7330433, E 598652 i SWEREF 99 TM.</w:t>
      </w:r>
    </w:p>
    <w:p>
      <w:r>
        <w:t>I och inom 25 meter från avverkningsanmälan finns fynd av 38 naturvårdsarter, varav 20 är rödlistade, 8 är fridlysta, 26 är typiska (T) och 8 är signalarter (S): bågknotterskinn (VU), garnlav (VU, T), grantickeporing (VU), gränsticka (VU, T), ostticka (VU, T), tajgaskinn (VU), vitskaftad svartspik (VU, T), brunpudrad nållav (NT, T), harticka (NT, T), koralltaggsvamp (NT, T), kristallskinn (NT), kötticka (NT), rosenticka (NT, T), rutspindling (NT), rynkskinn (NT, T), skrovellav (NT, T), talltita (NT, §4), tretåig hackspett (NT, T, §4), ullticka (NT, T), vitgrynig nållav (NT), blodticka (S, T), finbräken (S, T), korallrot (S, T, §8), spindelblomster (S, T, §8), stuplav (S, T), tibast (S, T), vedticka (S, T), ögonpyrola (S, T), hultbräken (T), humleblomster (T), kransmossa (T), nordisk stormhatt (T), torta (T), vanliga skogsvinbär (T), brudsporre (§8), fläcknycklar (§8), myggblomster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Bågknotterskinn (VU)</w:t>
      </w:r>
      <w:r>
        <w:t xml:space="preserve"> är en mycket sällsynt skinnsvamp med småtaggigt hymenium som växer på starkt murken, brunrötad granved, mer sällan på tall och lövträd. Observationerna har gjorts i äldre barrskog av blåbärstyp eller i fuktig, örtrik barrskog. Avverkning av äldre skog och minskningen av tillgången på lämpligt substrat i kulturskog är de främsta hoten. Fragmenteringen av skogslandskapet försvårar artens spridning. Kända lokaler som ej åtnjuter skydd bör återinventeras och därefter skyddas om de ekologiska förhållandena är intakta. För att på sikt gynna arten måste fler områden med äldre skog skyddas, särskilt i södra och mellersta Sverige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Kristallskinn (NT)</w:t>
      </w:r>
      <w:r>
        <w:t xml:space="preserve"> är en nedbrytare i ved av gran, främst på grova granlågor i naturskogsliknande bestånd. Arten förekommer även på andra substrat såsom björklågor i blandskog och på grangrenar, men majoriteten av kända fynd är gjorda i miljöer med lång skoglig kontinuitet. En slutavverkning, skoglig gallring eller annat uttag av skogsråvara på växtplatsen som ger ett förändrat lokalklimat innebär ett direkt hot. För att säkerställa artens fortlevnad bör man dels se till att artens växtplatser hålls intakta, dels att ny ved tillkommer, gärna i omedelbar anslutning. Befintliga vindfällen, döende träd, torrakor och lågor lämnas intakta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Vanliga skogsvinbär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