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1478-2026 i Arjeplogs kommun</w:t>
      </w:r>
    </w:p>
    <w:p>
      <w:r>
        <w:t>Denna tillsynsbegäran behandlar höga naturvärden i avverkningsanmälan A 1478-2026 i Arjeplogs kommun som inkom 2026-01-11 och omfattar 6,2 ha.</w:t>
      </w:r>
    </w:p>
    <w:p>
      <w:pPr>
        <w:pStyle w:val="Caption"/>
      </w:pPr>
      <w:r>
        <w:drawing>
          <wp:inline xmlns:a="http://schemas.openxmlformats.org/drawingml/2006/main" xmlns:pic="http://schemas.openxmlformats.org/drawingml/2006/picture">
            <wp:extent cx="5417146" cy="5724000"/>
            <wp:docPr id="1" name="Picture 1"/>
            <wp:cNvGraphicFramePr>
              <a:graphicFrameLocks noChangeAspect="1"/>
            </wp:cNvGraphicFramePr>
            <a:graphic>
              <a:graphicData uri="http://schemas.openxmlformats.org/drawingml/2006/picture">
                <pic:pic>
                  <pic:nvPicPr>
                    <pic:cNvPr id="0" name="A 1478-2026 karta.png"/>
                    <pic:cNvPicPr/>
                  </pic:nvPicPr>
                  <pic:blipFill>
                    <a:blip r:embed="rId16"/>
                    <a:stretch>
                      <a:fillRect/>
                    </a:stretch>
                  </pic:blipFill>
                  <pic:spPr>
                    <a:xfrm>
                      <a:off x="0" y="0"/>
                      <a:ext cx="5417146"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7305757, E 601434 i SWEREF 99 TM.</w:t>
      </w:r>
    </w:p>
    <w:p>
      <w:r>
        <w:t>I och inom 1 meter från avverkningsanmälan finns fynd av 8 naturvårdsarter, varav 8 är rödlistade, 1 är fridlyst och 7 är typiska (T): gränsticka (VU, T), vitskaftad svartspik (VU, T), gammelgransskål (NT, T), harticka (NT, T), knottrig blåslav (NT, T), tretåig hackspett (NT, T, §4), vedtrappmossa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vitskaftad svartspik (VU, T), gammelgransskål (NT, T), harticka (NT, T), knottrig blåslav (NT, T), tretåig hackspett (NT, T, §4) och vedtrappmossa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