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28351-2025 i Arjeplogs kommun</w:t>
      </w:r>
    </w:p>
    <w:p>
      <w:r>
        <w:t>Denna tillsynsbegäran behandlar höga naturvärden i avverkningsanmälan A 28351-2025 i Arjeplogs kommun som inkom 2025-06-10 och omfattar 5,4 ha.</w:t>
      </w:r>
    </w:p>
    <w:p>
      <w:pPr>
        <w:pStyle w:val="Caption"/>
      </w:pPr>
      <w:r>
        <w:drawing>
          <wp:inline xmlns:a="http://schemas.openxmlformats.org/drawingml/2006/main" xmlns:pic="http://schemas.openxmlformats.org/drawingml/2006/picture">
            <wp:extent cx="5415098" cy="5724000"/>
            <wp:docPr id="1" name="Picture 1"/>
            <wp:cNvGraphicFramePr>
              <a:graphicFrameLocks noChangeAspect="1"/>
            </wp:cNvGraphicFramePr>
            <a:graphic>
              <a:graphicData uri="http://schemas.openxmlformats.org/drawingml/2006/picture">
                <pic:pic>
                  <pic:nvPicPr>
                    <pic:cNvPr id="0" name="A 28351-2025 karta.png"/>
                    <pic:cNvPicPr/>
                  </pic:nvPicPr>
                  <pic:blipFill>
                    <a:blip r:embed="rId16"/>
                    <a:stretch>
                      <a:fillRect/>
                    </a:stretch>
                  </pic:blipFill>
                  <pic:spPr>
                    <a:xfrm>
                      <a:off x="0" y="0"/>
                      <a:ext cx="5415098"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7324357, E 620485 i SWEREF 99 TM.</w:t>
      </w:r>
    </w:p>
    <w:p>
      <w:r>
        <w:t>I och inom 1 meter från avverkningsanmälan finns fynd av 8 naturvårdsarter, varav 8 är rödlistade och 6 är typiska (T): fläckporing (VU, T), garnlav (VU, T), blanksvart spiklav (NT), dropptaggsvamp (NT, T), dvärgbägarlav (NT, T), ullticka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dropptaggsvamp (NT, T), dvärgbägarlav (NT, T), ullticka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