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26954-2022 i Arjeplogs kommun</w:t>
      </w:r>
    </w:p>
    <w:p>
      <w:r>
        <w:t>Detta dokument behandlar höga naturvärden i avverkningsanmälan A 26954-2022 i Arjeplogs kommun. Denna avverkningsanmälan inkom 2022-06-28 00:00:00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blanksvart spiklav (NT), blå taggsvamp (NT), granticka (NT), gropig brunbagge (NT), ladlav (NT), nordtagging (NT), orange taggsvamp (NT), tretåig hackspett (NT, §4), vedflamlav (NT), vedskivlav (NT) och vanlig padda (§6).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3081"/>
            <wp:docPr id="1" name="Picture 1"/>
            <wp:cNvGraphicFramePr>
              <a:graphicFrameLocks noChangeAspect="1"/>
            </wp:cNvGraphicFramePr>
            <a:graphic>
              <a:graphicData uri="http://schemas.openxmlformats.org/drawingml/2006/picture">
                <pic:pic>
                  <pic:nvPicPr>
                    <pic:cNvPr id="0" name="A 26954-2022 karta.png"/>
                    <pic:cNvPicPr/>
                  </pic:nvPicPr>
                  <pic:blipFill>
                    <a:blip r:embed="rId16"/>
                    <a:stretch>
                      <a:fillRect/>
                    </a:stretch>
                  </pic:blipFill>
                  <pic:spPr>
                    <a:xfrm>
                      <a:off x="0" y="0"/>
                      <a:ext cx="5486400" cy="3793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7308417, E 640714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Gropig brunbagge (NT)</w:t>
      </w:r>
      <w:r>
        <w:t xml:space="preserve"> är en skalbagge vars larvutveckling sker i mycel av violticka (</w:t>
      </w:r>
      <w:r>
        <w:rPr>
          <w:i/>
        </w:rPr>
        <w:t>Trichaptum abietinum</w:t>
      </w:r>
      <w:r>
        <w:t xml:space="preserve">) under barken på döda, stående eller liggande granar och tallar. Larven lever av svampens mycel mellan bark och ved, någon gång även ytligt i veden. Förekommer främst i äldre bestånd med rik förekomst av lågor. Den fullbildade skalbaggen påträffas lättast från hösten till försommaren i puppkammaren. Den hotas av slutavverkningar och även gallring av för arten lämplig skog. Skogsbestånd med riklig förekomst av grova lågor med violticka bör om möjligt lämnas orörda (till båtnad för såväl denna art som bland andra gulbandad brunbagge </w:t>
      </w:r>
      <w:r>
        <w:rPr>
          <w:i/>
        </w:rPr>
        <w:t xml:space="preserve">Orchesia fasciata </w:t>
      </w:r>
      <w:r>
        <w:t xml:space="preserve">(NT), brunkantad brunbagge </w:t>
      </w:r>
      <w:r>
        <w:rPr>
          <w:i/>
        </w:rPr>
        <w:t xml:space="preserve">Dolotarsus lividus </w:t>
      </w:r>
      <w:r>
        <w:t>(RE)</w:t>
      </w:r>
      <w:r>
        <w:rPr>
          <w:i/>
        </w:rPr>
        <w:t xml:space="preserve"> </w:t>
      </w:r>
      <w:r>
        <w:t xml:space="preserve">och trefläckig brunbagge </w:t>
      </w:r>
      <w:r>
        <w:rPr>
          <w:i/>
        </w:rPr>
        <w:t>Wanachia triguttata</w:t>
      </w:r>
      <w:r>
        <w:t>) (SLU Artdatabanken, 2024).</w:t>
      </w:r>
    </w:p>
    <w:p>
      <w:r>
        <w:rPr>
          <w:b/>
        </w:rPr>
        <w:t xml:space="preserve">Ladlav (NT) </w:t>
      </w:r>
      <w:r>
        <w:t xml:space="preserve">växer på gammal torr och hård kärnved i exponerade lägen. Naturliga växtplatser är torrakor, högstubbar och döda grenar av levande tallar på myrar, vid sjöar och kuster samt i berg- och rasbranter. Miljön nyskapas i begränsad omfattning. Ladlav hotas av att gammal, torr och exponerad kärnved försvinner genom avverkningar. Igenväxning och förtätning av brandpräglade skogar är också ett hot. I jordbrukslandskapet är målning och restaurering av gamla ängslador, staket m.m. är ett stort hot mot lavens förekomst. Ladlav är typisk art för </w:t>
      </w:r>
      <w:r>
        <w:rPr>
          <w:i/>
        </w:rPr>
        <w:t>9010 Taiga</w:t>
      </w:r>
      <w:r>
        <w:t xml:space="preserve">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tretåig hackspett (NT, §4)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