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45924-2023 i Arjeplogs kommun</w:t>
      </w:r>
    </w:p>
    <w:p>
      <w:r>
        <w:t>Detta klagomål behandlar höga naturvärden i avverkningsanmälan A 45924-2023 i Arjeplogs kommun som inkom 2023-09-20 och omfattar 11,2 ha.</w:t>
      </w:r>
    </w:p>
    <w:p>
      <w:pPr>
        <w:pStyle w:val="Caption"/>
      </w:pPr>
      <w:r>
        <w:drawing>
          <wp:inline xmlns:a="http://schemas.openxmlformats.org/drawingml/2006/main" xmlns:pic="http://schemas.openxmlformats.org/drawingml/2006/picture">
            <wp:extent cx="5238000" cy="5724000"/>
            <wp:docPr id="1" name="Picture 1"/>
            <wp:cNvGraphicFramePr>
              <a:graphicFrameLocks noChangeAspect="1"/>
            </wp:cNvGraphicFramePr>
            <a:graphic>
              <a:graphicData uri="http://schemas.openxmlformats.org/drawingml/2006/picture">
                <pic:pic>
                  <pic:nvPicPr>
                    <pic:cNvPr id="0" name="A 45924-2023 karta.png"/>
                    <pic:cNvPicPr/>
                  </pic:nvPicPr>
                  <pic:blipFill>
                    <a:blip r:embed="rId16"/>
                    <a:stretch>
                      <a:fillRect/>
                    </a:stretch>
                  </pic:blipFill>
                  <pic:spPr>
                    <a:xfrm>
                      <a:off x="0" y="0"/>
                      <a:ext cx="5238000"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7322086, E 621360 i SWEREF 99 TM.</w:t>
      </w:r>
    </w:p>
    <w:p>
      <w:r>
        <w:t>I och inom 7 meter från avverkningsanmälan finns fynd av 33 naturvårdsarter, varav 26 är rödlistade, 4 är fridlysta, 23 är typiska (T) och 6 är signalarter (S): blackticka (VU), fläckporing (VU, T), garnlav (VU, T), gränsticka (VU, T), ostticka (VU, T), sprickporing (VU), tajgaskinn (VU), ulltickeporing (VU), blanksvart spiklav (NT), blågrå svartspik (NT), dvärgbägarlav (NT, T), gammelgransskål (NT, T), grå blåbärsfältmätare (NT), harticka (NT, T), knottrig blåslav (NT, T), liten svartspik (NT), rosenticka (NT, T), rynkskinn (NT, T), talltagel (NT, T), talltita (NT, §4), tretåig hackspett (NT, T, §4), ullticka (NT, T), vedskivlav (NT, T), vedtrappmossa (NT, T), violmussling (NT, T), vitgrynig nållav (NT), gulnål (S, T), plattlummer (S, T, §9), skör kvastmossa (S, T), sotlav (S, T), vanlig flatbagge (S, T), vedticka (S, T)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Tajgaskinn (VU)</w:t>
      </w:r>
      <w:r>
        <w:t xml:space="preserve"> är placerad högst upp i Skogsstyrelsens värdepyramid för bedömning av skog med höga naturvärden och har klassificerats som en ”urskogsindikator” som kräver närmast orörda skogsmiljöer med långvarig kontinuitet av grova granlågor i olika nedbrytningsstadier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Violmussling (NT)</w:t>
      </w:r>
      <w:r>
        <w:t xml:space="preserve"> växer på döda, oftast omkullfallna stammar av gran eller tall. De flesta fynden har gjorts i gammal, orörd skog och arten är en mycket god indikator på förekomst av lång skoglig kontinuitet. Platser som hyser stora bestånd av violmussling bör i första hand skyddas och undantas från skogsbruk. Flera sällsynta och mycket sällsynta tickor och skalbaggar är mer eller mindre starkt associerade med violtickor </w:t>
      </w:r>
      <w:r>
        <w:rPr>
          <w:i/>
        </w:rPr>
        <w:t>Trichaptum spp.</w:t>
      </w:r>
      <w:r>
        <w:t xml:space="preserve"> och död ved som först rötats av någon </w:t>
      </w:r>
      <w:r>
        <w:rPr>
          <w:i/>
        </w:rPr>
        <w:t>Trichaptum-art</w:t>
      </w:r>
      <w:r>
        <w:t>. Bland dessa kan nämnas gul mjukporing (CR), lämmelporing (CR), kilporing (VU), parasitporing (VU), gropig brunbagge (NT), gulbandad brunbagge</w:t>
      </w:r>
      <w:r>
        <w:rPr>
          <w:i/>
        </w:rPr>
        <w:t xml:space="preserve"> </w:t>
      </w:r>
      <w:r>
        <w:t>(NT) och brunkantad brunbagge</w:t>
      </w:r>
      <w:r>
        <w:rPr>
          <w:i/>
        </w:rPr>
        <w:t xml:space="preserve"> </w:t>
      </w:r>
      <w:r>
        <w:t xml:space="preserve">(DD). Violmussling är typisk art för </w:t>
      </w:r>
      <w:r>
        <w:rPr>
          <w:i/>
        </w:rPr>
        <w:t>9010 Taiga</w:t>
      </w:r>
      <w:r>
        <w:t xml:space="preserve"> (SLU Artdatabanken, 2026;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Gulnål</w:t>
      </w:r>
      <w:r>
        <w:t xml:space="preserve"> växer mest på murknande lövträdsved och barrträdsved och förekommer i skuggiga miljöer med hög luftfuktighet. I södra Sverige är den en relativt bra signal på biotoper med höga naturvärden och följs ofta av sällsynta arter. Gulnål är typisk art för </w:t>
      </w:r>
      <w:r>
        <w:rPr>
          <w:i/>
        </w:rPr>
        <w:t>9110 Näringsfattig bokskog</w:t>
      </w:r>
      <w:r>
        <w:t xml:space="preserve"> och</w:t>
      </w:r>
      <w:r>
        <w:rPr>
          <w:i/>
        </w:rPr>
        <w:t xml:space="preserve"> 9130 Näringsrik bokskog </w:t>
      </w:r>
      <w:r>
        <w:t>(Nitare &amp; Skogsstyrelsen, 2019; SLU Artdatabanken, 2025).</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 xml:space="preserve">Skör kvastmossa </w:t>
      </w:r>
      <w:r>
        <w:t xml:space="preserve">växer på murket trä och någon gång på humusrik jord eller torv. Den påträffas främst i miljöer med hög luftfuktighet, såsom sumpskogar och strandskogar. Den signalerar skog med höga naturvärden och indikerar rik förekomst av ved i olika nedbrytningsstadier på lokaler med hög och jämn luftfuktighet. Skör kvastmossa är typisk art för </w:t>
      </w:r>
      <w:r>
        <w:rPr>
          <w:i/>
        </w:rPr>
        <w:t>9010 Taiga</w:t>
      </w:r>
      <w:r>
        <w:t xml:space="preserve"> (SLU Artdatabanken, 2024; Nitare &amp; Skogsstyrelsen, 2019).</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Vanlig flatbagge</w:t>
      </w:r>
      <w:r>
        <w:t xml:space="preserve"> är en skalbagge vars larvutveckling sker i brunrötad ved av tall och gran, i mindre omfattning lövträd som al, asp och björk. Främst i lågor med klibbticka, timmerticka eller citronticka. Vanlig flatbagge är typisk art för </w:t>
      </w:r>
      <w:r>
        <w:rPr>
          <w:i/>
        </w:rPr>
        <w:t xml:space="preserve">9060 Åsbarrskog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32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33 naturvårdsarter varav 26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2026).</w:t>
      </w:r>
    </w:p>
    <w:p>
      <w:r>
        <w:t xml:space="preserve">Ulltickeporingen har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(SLU Artdatabanken, 2026; Miettinen &amp; Niemelä, 2018).</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