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26143-2024 i Arjeplogs kommun</w:t>
      </w:r>
    </w:p>
    <w:p>
      <w:r>
        <w:t>Denna tillsynsbegäran behandlar höga naturvärden i avverkningsanmälan A 26143-2024 i Arjeplogs kommun som inkom 2024-06-24 och omfattar 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37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14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37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7324442, E 619766 i SWEREF 99 TM.</w:t>
      </w:r>
    </w:p>
    <w:p>
      <w:r>
        <w:t>I avverkningsanmälan finns fynd av 3 naturvårdsarter, varav 2 är rödlistade, 2 är typiska (T) och 1 är signalart (S): blanksvart spiklav (NT), knottrig blåslav (NT, T) och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Blanksvart spiklav (NT)</w:t>
      </w:r>
      <w:r>
        <w:t xml:space="preserve"> förekommer på torr, hård, gammal kärnved men även på äldre ytved av tall i naturskogsartade bestånd med begränsad brandpåverkan och ostörd hydrologi. Skogsbruksåtgärder på eller i närheten av lokaler med blanksvart spiklav utgör ett hot. Naturskogsartade öppna tall- och barrblandskogar med blanksvart spiklav indikerar höga biologiska värden och bör bevaras (SLU Artdatabanken, 2024).</w:t>
      </w:r>
    </w:p>
    <w:p>
      <w:r>
        <w:rPr>
          <w:b/>
        </w:rPr>
        <w:t>Knottrig blåslav (NT)</w:t>
      </w:r>
      <w:r>
        <w:t xml:space="preserve"> har sin huvudutbredning i gamla granskogar i det övre barrskogsbältet mot fjällen. Den signalerar alltid höga naturvärden och växer i skogar med lång kontinuitet, mest i opåverkade naturskogsbestånd. Arten överlever inte en slutavverkning (inklusive hänsyn) och den finns idag enbart i kontinuitetsskog. Lavens fortsatta förekomst bör säkerställas genom att lokaler med äldre barrskog skyddas. Knottrig blåslav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9040 Fjällbjörkskog</w:t>
      </w:r>
    </w:p>
    <w:p>
      <w:r>
        <w:t>(SLU Artdatabanken, 2024; Nitare &amp; Skogsstyrelsen, 2019).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