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26053-2026 i Arjeplogs kommun</w:t>
      </w:r>
    </w:p>
    <w:p>
      <w:r>
        <w:t>Denna tillsynsbegäran behandlar höga naturvärden i avverkningsanmälan A 26053-2026 i Arjeplogs kommun som inkom 2026-06-08 och omfattar 12,9 ha.</w:t>
      </w:r>
    </w:p>
    <w:p>
      <w:pPr>
        <w:pStyle w:val="Caption"/>
      </w:pPr>
      <w:r>
        <w:drawing>
          <wp:inline xmlns:a="http://schemas.openxmlformats.org/drawingml/2006/main" xmlns:pic="http://schemas.openxmlformats.org/drawingml/2006/picture">
            <wp:extent cx="5486400" cy="3834025"/>
            <wp:docPr id="1" name="Picture 1"/>
            <wp:cNvGraphicFramePr>
              <a:graphicFrameLocks noChangeAspect="1"/>
            </wp:cNvGraphicFramePr>
            <a:graphic>
              <a:graphicData uri="http://schemas.openxmlformats.org/drawingml/2006/picture">
                <pic:pic>
                  <pic:nvPicPr>
                    <pic:cNvPr id="0" name="A 26053-2026 karta.png"/>
                    <pic:cNvPicPr/>
                  </pic:nvPicPr>
                  <pic:blipFill>
                    <a:blip r:embed="rId16"/>
                    <a:stretch>
                      <a:fillRect/>
                    </a:stretch>
                  </pic:blipFill>
                  <pic:spPr>
                    <a:xfrm>
                      <a:off x="0" y="0"/>
                      <a:ext cx="5486400" cy="38340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7328303, E 657807 i SWEREF 99 TM.</w:t>
      </w:r>
    </w:p>
    <w:p>
      <w:r>
        <w:t>I och inom 6 meter från avverkningsanmälan finns fynd av 38 naturvårdsarter, varav 24 är rödlistade, 8 är fridlysta, 30 är typiska (T) och 12 är signalarter (S): doftticka (VU, T, §8), fläckporing (VU, T), garnlav (VU, T), gränsticka (VU, T), knärot (VU, T, §8), lappticka (VU, T), ostticka (VU, T), tajgaskinn (VU), blanksvart spiklav (NT), doftskinn (NT, T), gammelgransskål (NT, T), grå blåbärsfältmätare (NT), harticka (NT, T), knottrig blåslav (NT, T), lavskrika (NT, T, §4), rosenticka (NT, T), rödbrun blekspik (NT, T), skrovellav (NT, T), talltita (NT, §4), tretåig hackspett (NT, T, §4), ullticka (NT, T), vedflamlav (NT), vedtrappmossa (NT, T), vitgrynig nållav (NT), bronshjon (S, T), bårdlav (S, T), källmossor (S), luddlav (S, T), norrlandslav (S, T), plattlummer (S, T, §9), skör kvastmossa (S, T), spindelblomster (S, T, §8), stuplav (S, T), vedticka (S, T), vågbandad barkbock (S), ögonpyrola (S, T), bergsslok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003380"/>
            <wp:docPr id="2" name="Picture 2"/>
            <wp:cNvGraphicFramePr>
              <a:graphicFrameLocks noChangeAspect="1"/>
            </wp:cNvGraphicFramePr>
            <a:graphic>
              <a:graphicData uri="http://schemas.openxmlformats.org/drawingml/2006/picture">
                <pic:pic>
                  <pic:nvPicPr>
                    <pic:cNvPr id="0" name="A 26053-2026 karta knärot.png"/>
                    <pic:cNvPicPr/>
                  </pic:nvPicPr>
                  <pic:blipFill>
                    <a:blip r:embed="rId17"/>
                    <a:stretch>
                      <a:fillRect/>
                    </a:stretch>
                  </pic:blipFill>
                  <pic:spPr>
                    <a:xfrm>
                      <a:off x="0" y="0"/>
                      <a:ext cx="5486400" cy="30033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7328303, E 657807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gränsticka (VU, T), knärot (VU, T, §8), lappticka (VU, T), ostticka (VU, T), doftskinn (NT, T), gammelgransskål (NT, T), harticka (NT, T), knottrig blåslav (NT, T), lavskrika (NT, T, §4), rosenticka (NT, T), rödbrun blekspik (NT, T), skrovellav (NT, T), tretåig hackspett (NT, T, §4), ullticka (NT, T), vedtrappmossa (NT, T), bronshjon (S, T), bårdlav (S, T), luddlav (S, T), norrlandslav (S, T), plattlummer (S, T, §9), skör kvastmossa (S, T), spindelblomster (S, T, §8), stuplav (S, T), vedticka (S, T), ögonpyrola (S, T), bergsslok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