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26053-2026 i Arjeplogs kommun</w:t>
      </w:r>
    </w:p>
    <w:p>
      <w:r>
        <w:t>Denna tillsynsbegäran behandlar höga naturvärden i avverkningsanmälan A 26053-2026 i Arjeplogs kommun som inkom 2026-06-08 och omfattar 12,9 ha.</w:t>
      </w:r>
    </w:p>
    <w:p>
      <w:pPr>
        <w:pStyle w:val="Caption"/>
      </w:pPr>
      <w:r>
        <w:drawing>
          <wp:inline xmlns:a="http://schemas.openxmlformats.org/drawingml/2006/main" xmlns:pic="http://schemas.openxmlformats.org/drawingml/2006/picture">
            <wp:extent cx="5486400" cy="3834025"/>
            <wp:docPr id="1" name="Picture 1"/>
            <wp:cNvGraphicFramePr>
              <a:graphicFrameLocks noChangeAspect="1"/>
            </wp:cNvGraphicFramePr>
            <a:graphic>
              <a:graphicData uri="http://schemas.openxmlformats.org/drawingml/2006/picture">
                <pic:pic>
                  <pic:nvPicPr>
                    <pic:cNvPr id="0" name="A 26053-2026 karta.png"/>
                    <pic:cNvPicPr/>
                  </pic:nvPicPr>
                  <pic:blipFill>
                    <a:blip r:embed="rId16"/>
                    <a:stretch>
                      <a:fillRect/>
                    </a:stretch>
                  </pic:blipFill>
                  <pic:spPr>
                    <a:xfrm>
                      <a:off x="0" y="0"/>
                      <a:ext cx="5486400" cy="3834025"/>
                    </a:xfrm>
                    <a:prstGeom prst="rect"/>
                  </pic:spPr>
                </pic:pic>
              </a:graphicData>
            </a:graphic>
          </wp:inline>
        </w:drawing>
      </w:r>
    </w:p>
    <w:p>
      <w:pPr>
        <w:pStyle w:val="Caption"/>
        <w:spacing w:after="240"/>
      </w:pPr>
      <w:r>
        <w:t>Figur 1. Fyndplatser för naturvårdsarter i och inom 6 meter från avverkningsanmälan. Markörer utan svart kant är placerade på fyndplatsen. Markörer med svart kant är placerade vid sidan av fyndplatsen har ett svart streck som visar fyndplatsens exakta position. Kartans mittpunktskoordinat är N 7328303, E 657807 i SWEREF 99 TM.</w:t>
      </w:r>
    </w:p>
    <w:p>
      <w:r>
        <w:t>I och inom 6 meter från avverkningsanmälan finns fynd av 38 naturvårdsarter, varav 24 är rödlistade, 8 är fridlysta, 30 är typiska (T) och 12 är signalarter (S): doftticka (VU, T, §8), fläckporing (VU, T), garnlav (VU, T), gränsticka (VU, T), knärot (VU, T, §8), lappticka (VU, T), ostticka (VU, T), tajgaskinn (VU), blanksvart spiklav (NT), doftskinn (NT, T), gammelgransskål (NT, T), grå blåbärsfältmätare (NT), harticka (NT, T), knottrig blåslav (NT, T), lavskrika (NT, T, §4), rosenticka (NT, T), rödbrun blekspik (NT, T), skrovellav (NT, T), talltita (NT, §4), tretåig hackspett (NT, T, §4), ullticka (NT, T), vedflamlav (NT), vedtrappmossa (NT, T), vitgrynig nållav (NT), bronshjon (S, T), bårdlav (S, T), källmossor (S), luddlav (S, T), norrlandslav (S, T), plattlummer (S, T, §9), skör kvastmossa (S, T), spindelblomster (S, T, §8), stuplav (S, T), vedticka (S, T), vågbandad barkbock (S), ögonpyrola (S, T), bergsslok (T) och tjäder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och är typisk art för </w:t>
      </w:r>
      <w:r>
        <w:rPr>
          <w:i/>
        </w:rPr>
        <w:t>9010 Taiga</w:t>
      </w:r>
      <w:r>
        <w:t xml:space="preserve"> och</w:t>
      </w:r>
      <w:r>
        <w:rPr>
          <w:i/>
        </w:rPr>
        <w:t xml:space="preserve"> 9050 Näringsrik granskog </w:t>
      </w:r>
      <w:r>
        <w:t>(IUCN Redlist, 2024; Nitare &amp; Skogsstyrelsen, 2019; SLU Artdatabanken, 2024).</w:t>
      </w:r>
    </w:p>
    <w:p>
      <w:r>
        <w:rPr>
          <w:b/>
        </w:rPr>
        <w:t>Fläckporing (VU)</w:t>
      </w:r>
      <w:r>
        <w:t xml:space="preserve"> är en mycket bra signalart som visar på tallnaturskogar med höga naturvärden. Den är placerad högst upp i Skogsstyrelsens värdepyramid för bedömning av skog med höga naturvärden och indikerar områden som är mer eller mindre opåverkade av skogsbruk och där det funnits en kontinuitet av tallågor i olika nedbrytningsstadier. För att på lång sikt bibehålla livskraftiga populationer i ett område behövs troligen större skyddade områden som tillåter att man upprätthåller en naturlig branddynamik. Fläckporing är typisk art för </w:t>
      </w:r>
      <w:r>
        <w:rPr>
          <w:i/>
        </w:rPr>
        <w:t>9010 Taiga</w:t>
      </w:r>
      <w:r>
        <w:t xml:space="preserve"> (SLU Artdatabanken, 2024; Nitare &amp; Skogsstyrelsen, 2019).</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1.32 ha med buffertzonerna och får av detta skäl inte avverkas.</w:t>
      </w:r>
    </w:p>
    <w:p>
      <w:pPr>
        <w:pStyle w:val="Caption"/>
      </w:pPr>
      <w:r>
        <w:drawing>
          <wp:inline xmlns:a="http://schemas.openxmlformats.org/drawingml/2006/main" xmlns:pic="http://schemas.openxmlformats.org/drawingml/2006/picture">
            <wp:extent cx="5486400" cy="3003380"/>
            <wp:docPr id="2" name="Picture 2"/>
            <wp:cNvGraphicFramePr>
              <a:graphicFrameLocks noChangeAspect="1"/>
            </wp:cNvGraphicFramePr>
            <a:graphic>
              <a:graphicData uri="http://schemas.openxmlformats.org/drawingml/2006/picture">
                <pic:pic>
                  <pic:nvPicPr>
                    <pic:cNvPr id="0" name="A 26053-2026 karta knärot.png"/>
                    <pic:cNvPicPr/>
                  </pic:nvPicPr>
                  <pic:blipFill>
                    <a:blip r:embed="rId17"/>
                    <a:stretch>
                      <a:fillRect/>
                    </a:stretch>
                  </pic:blipFill>
                  <pic:spPr>
                    <a:xfrm>
                      <a:off x="0" y="0"/>
                      <a:ext cx="5486400" cy="3003380"/>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7328303, E 657807 i SWEREF 99 TM.</w:t>
      </w:r>
    </w:p>
    <w:p>
      <w:r>
        <w:rPr>
          <w:b/>
        </w:rPr>
        <w:t>Lappticka (VU)</w:t>
      </w:r>
      <w:r>
        <w:t xml:space="preserve">, rödlistad som sårbar, är knuten till gamla granskogar med riklig förekomst av död ved. Den klassas som en “urskogsindikator” och alla skogsskötselåtgärder på eller i omedelbar närhet av lokalerna utgör ett hot. Lappticka är typisk art för </w:t>
      </w:r>
      <w:r>
        <w:rPr>
          <w:i/>
        </w:rPr>
        <w:t>9010 Taiga</w:t>
      </w:r>
      <w:r>
        <w:t xml:space="preserve"> (Nitare &amp; Skogsstyrelsen, 2019; SLU Artdatabanken, 2024).</w:t>
      </w:r>
    </w:p>
    <w:p>
      <w:r>
        <w:rPr>
          <w:b/>
        </w:rPr>
        <w:t xml:space="preserve">Ostticka (VU) </w:t>
      </w:r>
      <w:r>
        <w:t xml:space="preserve">växer huvudsakligen på grova granlågor i urskogsartad barrskog. Växtplatserna ligger vanligtvis i brandrefugiala områden med relativt hög luftfuktighet där skogen under lång tid haft en intern beståndsdynamik med successivt avdöende träd. Alla skogsskötselåtgärder på eller i omedelbar närhet av lokalerna inverkar negativt på artens fortlevnad. Ostticka är typisk art för </w:t>
      </w:r>
      <w:r>
        <w:rPr>
          <w:i/>
        </w:rPr>
        <w:t xml:space="preserve">9010 Taiga </w:t>
      </w:r>
      <w:r>
        <w:t xml:space="preserve">och </w:t>
      </w:r>
      <w:r>
        <w:rPr>
          <w:i/>
        </w:rPr>
        <w:t>9030 Landhöjningsskog</w:t>
      </w:r>
      <w:r>
        <w:t xml:space="preserve"> (SLU Artdatabanken, 2024; Nitare &amp; Skogsstyrelsen, 2019).</w:t>
      </w:r>
    </w:p>
    <w:p>
      <w:r>
        <w:rPr>
          <w:b/>
        </w:rPr>
        <w:t>Tajgaskinn (VU)</w:t>
      </w:r>
      <w:r>
        <w:t xml:space="preserve"> är placerad högst upp i Skogsstyrelsens värdepyramid för bedömning av skog med höga naturvärden och har klassificerats som en ”urskogsindikator” som kräver närmast orörda skogsmiljöer med långvarig kontinuitet av grova granlågor i olika nedbrytningsstadier (Nitare &amp; Skogsstyrelsen, 2019).</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Doftskinn (NT)</w:t>
      </w:r>
      <w:r>
        <w:t xml:space="preserve">,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Doftskinn är typisk art för </w:t>
      </w:r>
      <w:r>
        <w:rPr>
          <w:i/>
        </w:rPr>
        <w:t xml:space="preserve">9010 Taiga </w:t>
      </w:r>
      <w:r>
        <w:t>(SLU Artdatabanken, 2025;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Grå blåbärsfältmätare (NT)</w:t>
      </w:r>
      <w:r>
        <w:t xml:space="preserve"> har tidigare ansetts som en mycket vanlig art men har utifrån fältobservationer gått starkt tillbaka och är nu försvunnen från stora delar av södra och mellersta Sverige. Sannolikt minskar arten även i norr. Detta indikerar att arten är starkare knuten till kontinuitetsskog med stort innehåll av blåbär än man tidigare trott och den förefaller vara mycket känslig för kalhyggesbruk. Fjärilens huvudsakliga habitat är luckiga granskogar med ett välutvecklat blåbärskikt på vilket larven lever. Denna livsmiljö är hotad av kalhyggesbruket där blåbärsriset skuggas ut när den uppväxande skogen sluter sig. Minskningstakten för den svenska populationen bedöms vara nära gränsvärdet för Sårbar (VU) (SLU Artdatabanken, 2024).</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Knottrig blåslav är typisk art för </w:t>
      </w:r>
      <w:r>
        <w:rPr>
          <w:i/>
        </w:rPr>
        <w:t xml:space="preserve">9010 Taiga </w:t>
      </w:r>
      <w:r>
        <w:t>och</w:t>
      </w:r>
      <w:r>
        <w:rPr>
          <w:i/>
        </w:rPr>
        <w:t xml:space="preserve"> 9040 Fjällbjörkskog</w:t>
      </w:r>
    </w:p>
    <w:p>
      <w:r>
        <w:t>(SLU Artdatabanken, 2024; Nitare &amp; Skogsstyrelsen, 2019).</w:t>
      </w:r>
    </w:p>
    <w:p>
      <w:r>
        <w:rPr>
          <w:b/>
        </w:rPr>
        <w:t>Lavskrika (NT, §4)</w:t>
      </w:r>
      <w:r>
        <w:t xml:space="preserve"> är rödlistad som nära hotad och fridlyst enligt 4§ artskyddsförordningen. Den har minskat med 20 (10–30) % under de senaste 15 åren och minskningstakten bedöms vara nära gränsvärdet för sårbar (VU). Lavskrikan är en mycket stationär fågel, som häckar i äldre, slutna och hänglavsrika barrskogar. Nyckelfaktorer är flerskiktad skog med rik undervegetation samt riklig förekomst av hänglavar.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Den försvinner successivt framför allt vid dess utbredningsgränser och populationen har minskat kontinuerligt under 2000-talet. Lavskrika är typisk art för </w:t>
      </w:r>
      <w:r>
        <w:rPr>
          <w:i/>
        </w:rPr>
        <w:t>9010 Taiga</w:t>
      </w:r>
      <w:r>
        <w:t xml:space="preserve"> (SLU Artdatabanken, 2026; Skogsstyrelsen 2016).</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Rödbrun blekspik (NT)</w:t>
      </w:r>
      <w:r>
        <w:t xml:space="preserve"> växer i norra Sverige på bark och ved av björk och gran i skogar med hög och jämn luftfuktighet. I södra Sverige växer den främst på ek i öppna åldriga lövskogar. I norra delen av sitt utbredningsområde hotas arten av slutavverkningar av gamla granskogar. I den södra delen av landet hotas den genom de åldriga lövskogarnas tillbakagång och särskilt ekhagarnas igenväxning och genom plantering av sådan mark med barrskog. Rödbrun blekspik är typisk art för </w:t>
      </w:r>
      <w:r>
        <w:rPr>
          <w:i/>
        </w:rPr>
        <w:t xml:space="preserve">9010 Taiga, 9020 Nordlig ädellövskog, 9070 Trädklädd betesmark, 9160 Näringsrik ekskog </w:t>
      </w:r>
      <w:r>
        <w:t xml:space="preserve">och </w:t>
      </w:r>
      <w:r>
        <w:rPr>
          <w:i/>
        </w:rPr>
        <w:t>9180 Ädellövskog i branter</w:t>
      </w:r>
      <w:r>
        <w:t xml:space="preserve"> och signalerar alltid höga naturvärden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rPr>
          <w:b/>
        </w:rPr>
        <w:t xml:space="preserve">Norrlandslav </w:t>
      </w:r>
      <w:r>
        <w:t xml:space="preserve">indikerar söder om den naturliga norrlandsgränsen barrskogsbeklädda bergbranter eller andra ostörda skogsmiljöer med höga naturvärden. Norrlandslav är typisk art för </w:t>
      </w:r>
      <w:r>
        <w:rPr>
          <w:i/>
        </w:rPr>
        <w:t xml:space="preserve">9010 Taiga, 8110 Silikatrasmarker </w:t>
      </w:r>
      <w:r>
        <w:t>och</w:t>
      </w:r>
      <w:r>
        <w:rPr>
          <w:i/>
        </w:rPr>
        <w:t xml:space="preserve"> 8120 Kalkrasmarker </w:t>
      </w:r>
      <w:r>
        <w:t>(Nitare &amp; Skogsstyrelsen, 2000; SLU Artdatabanken, 2025).</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(EN, §8) och mellanlummer (NT, §9), vilka båda omfattas av EU:s art- och habitatdirektiv. Plattlummer är typisk art för </w:t>
      </w:r>
      <w:r>
        <w:rPr>
          <w:i/>
        </w:rPr>
        <w:t xml:space="preserve">9010 Taiga </w:t>
      </w:r>
      <w:r>
        <w:t>och</w:t>
      </w:r>
      <w:r>
        <w:rPr>
          <w:i/>
        </w:rPr>
        <w:t xml:space="preserve"> 2320 Rissandhedar </w:t>
      </w:r>
      <w:r>
        <w:t>(Nitare &amp; Skogsstyrelsen, 2019; SLU Artdatabanken, 2026).</w:t>
      </w:r>
    </w:p>
    <w:p>
      <w:r>
        <w:rPr>
          <w:b/>
        </w:rPr>
        <w:t xml:space="preserve">Skör kvastmossa </w:t>
      </w:r>
      <w:r>
        <w:t xml:space="preserve">växer på murket trä och någon gång på humusrik jord eller torv. Den påträffas främst i miljöer med hög luftfuktighet, såsom sumpskogar och strandskogar. Den signalerar skog med höga naturvärden och indikerar rik förekomst av ved i olika nedbrytningsstadier på lokaler med hög och jämn luftfuktighet. Skör kvastmossa är typisk art för </w:t>
      </w:r>
      <w:r>
        <w:rPr>
          <w:i/>
        </w:rPr>
        <w:t>9010 Taiga</w:t>
      </w:r>
      <w:r>
        <w:t xml:space="preserve"> (SLU Artdatabanken, 2024; Nitare &amp; Skogsstyrelsen, 2019).</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 xml:space="preserve">Vågbandad barkbock </w:t>
      </w:r>
      <w:r>
        <w:t>är en långhorning vars larvutveckling sker under bark på nyligen döda stående barrträd, främst gran, mer undantagsvis på tall. Främst i stående träd, särskilt gamla, långsamvuxna granar med grov bark, även i grövre grenar, stubbar eller vindfällen. Arten är starkt knuten till naturskogsliknande granskogar, och gynnas av extrema torrsomrar som försvagar träden. Arten påverkas negativt av brist på kontinuitetsskog och en minskning av populationen pågår eller förväntas ske (SLU Artdatabanken, 2025).</w:t>
      </w:r>
    </w:p>
    <w:p>
      <w:r>
        <w:rPr>
          <w:b/>
        </w:rPr>
        <w:t xml:space="preserve">Ögonpyrola </w:t>
      </w:r>
      <w:r>
        <w:t xml:space="preserve">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Ögonpyrola är typisk art för </w:t>
      </w:r>
      <w:r>
        <w:rPr>
          <w:i/>
        </w:rPr>
        <w:t>9010 Taiga</w:t>
      </w:r>
      <w:r>
        <w:t xml:space="preserve"> och</w:t>
      </w:r>
      <w:r>
        <w:rPr>
          <w:i/>
        </w:rPr>
        <w:t xml:space="preserve"> 9070 Trädklädd betesmark</w:t>
      </w:r>
      <w:r>
        <w:t xml:space="preserve"> (Nitare &amp; Skogsstyrelsen, 2019; SLU Artdatabanken, 2024).</w:t>
      </w:r>
    </w:p>
    <w:p>
      <w:r>
        <w:rPr>
          <w:b/>
        </w:rPr>
        <w:t xml:space="preserve">Bergsslok </w:t>
      </w:r>
      <w:r>
        <w:t xml:space="preserve">är typisk art för </w:t>
      </w:r>
      <w:r>
        <w:rPr>
          <w:i/>
        </w:rPr>
        <w:t>9190 Näringsfattig ekskog</w:t>
      </w:r>
      <w:r>
        <w:t xml:space="preserve"> (SLU Artdatabanken, 2025).</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doftticka (VU, T, §8), fläckporing (VU, T), garnlav (VU, T), gränsticka (VU, T), knärot (VU, T, §8), lappticka (VU, T), ostticka (VU, T), doftskinn (NT, T), gammelgransskål (NT, T), harticka (NT, T), knottrig blåslav (NT, T), lavskrika (NT, T, §4), rosenticka (NT, T), rödbrun blekspik (NT, T), skrovellav (NT, T), tretåig hackspett (NT, T, §4), ullticka (NT, T), vedtrappmossa (NT, T), bronshjon (S, T), bårdlav (S, T), luddlav (S, T), norrlandslav (S, T), plattlummer (S, T, §9), skör kvastmossa (S, T), spindelblomster (S, T, §8), stuplav (S, T), vedticka (S, T), ögonpyrola (S, T), bergsslok (T) och tjäder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Lavskrika – ekologi samt krav på livsmiljön</w:t>
      </w:r>
    </w:p>
    <w:p>
      <w:r>
        <w:t>Lavskrika är rödlistad som nära hotad (NT), fridlyst enligt 4 § artskyddsförordningen (2007:845) och ingår i förteckningen över prioriterade arter i Skogsstyrelsens föreskrifter och allmänna råd (SKSFS 2011:7) bilaga 4. Lavskrikan är en mycket stationär fågel, som häckar i äldre, slutna och hänglavsrika barrskogar. Nyckelfaktorer är flerskiktad skog med rik undervegetation samt riklig förekomst av hänglavar (SLU Artdatabanken, 2026).</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 xml:space="preserve">Populationen har minskat med 20 (10–30) % under de senaste 15 åren och minskningstakten bedöms vara nära gränsvärdet för sårbar (VU). Arten försvinner successivt framför allt vid dess utbredningsgränser och populationen har minskat kontinuerligt under 2000-talet. Lavskrika är typisk art för </w:t>
      </w:r>
      <w:r>
        <w:rPr>
          <w:i/>
        </w:rPr>
        <w:t>9010 Taiga</w:t>
      </w:r>
      <w:r>
        <w:t xml:space="preserve"> (SLU Artdatabanken, 2026).</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