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26954-2022 i Arjeplogs kommun</w:t>
      </w:r>
    </w:p>
    <w:p>
      <w:r>
        <w:t>Detta dokument behandlar höga naturvärden i avverkningsanmälan A 26954-2022 i Arjeplogs kommun. Denna avverkningsanmälan inkom 2022-06-28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blå taggsvamp (NT), granticka (NT), gropig brunbagge (NT), ladlav (NT), nordtagging (NT), orange taggsvamp (NT), tretåig hackspett (NT, §4), vedflamlav (NT), vedskivlav (NT) och vanlig padda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26954-2022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7308417, E 640714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 xml:space="preserve">Ladlav (NT) </w:t>
      </w:r>
      <w:r>
        <w:t>växer på gammal torr och hård kärnved i exponerade lägen. Naturliga växtplatser är torrakor, högstubbar och döda grenar av levande tallar på myrar, vid sjöar och kuster samt i berg- och rasbranter. Miljön nyskapas i begränsad omfattning. Ladlav hotas av att gammal, torr och exponerad kärnved försvinner genom avverkningar. Igenväxning och förtätning av brandpräglade skogar är också ett hot. I jordbrukslandskapet är målning och restaurering av gamla ängslador, staket m.m. är ett stort hot mot lavens förekomst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