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26954-2022 i Arjeplogs kommun</w:t>
      </w:r>
    </w:p>
    <w:p>
      <w:r>
        <w:t>Detta klagomål behandlar höga naturvärden i avverkningsanmälan A 26954-2022 i Arjeplogs kommun som inkom 2022-06-28 och omfattar 10,4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26954-2022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7308417, E 640714 i SWEREF 99 TM.</w:t>
      </w:r>
    </w:p>
    <w:p>
      <w:r>
        <w:t>I och inom 25 meter från avverkningsanmälan finns fynd av 26 naturvårdsarter, varav 21 är rödlistade, 5 är fridlysta, 13 är typiska (T) och 3 är signalarter (S): fläckporing (VU, T), garnlav (VU, T), Lecidea subhumida (VU), blanksvart spiklav (NT), blå taggsvamp (NT, T), blågrå svartspik (NT), dvärgbägarlav (NT, T), gammelgransskål (NT, T), gropig brunbagge (NT), grå blåbärsfältmätare (NT), kortskaftad ärgspik (NT), ladlav (NT, T), lavskrika (NT, T, §4), nordtagging (NT), orange taggsvamp (NT, T), talltagel (NT, T), tretåig hackspett (NT, T, §4), vedflamlav (NT), vedskivlav (NT, T), vitgrynig nållav (NT), vitplätt (NT), blodticka (S, T), plattlummer (S, T, §9), vågbandad barkbock (S), vanlig padda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Gropig brunbagge (NT)</w:t>
      </w:r>
      <w:r>
        <w:t xml:space="preserve"> är en skalbagge vars larvutveckling sker i mycel av violticka (</w:t>
      </w:r>
      <w:r>
        <w:rPr>
          <w:i/>
        </w:rPr>
        <w:t>Trichaptum abietinum</w:t>
      </w:r>
      <w:r>
        <w:t xml:space="preserve">) under barken på döda, stående eller liggande granar och tallar. Larven lever av svampens mycel mellan bark och ved, någon gång även ytligt i veden. Förekommer främst i äldre bestånd med rik förekomst av lågor. Den fullbildade skalbaggen påträffas lättast från hösten till försommaren i puppkammaren. Den hotas av slutavverkningar och även gallring av för arten lämplig skog. Skogsbestånd med riklig förekomst av grova lågor med violticka bör om möjligt lämnas orörda (till båtnad för såväl denna art som bland andra gulbandad brunbagge </w:t>
      </w:r>
      <w:r>
        <w:rPr>
          <w:i/>
        </w:rPr>
        <w:t xml:space="preserve">Orchesia fasciata </w:t>
      </w:r>
      <w:r>
        <w:t xml:space="preserve">(NT), brunkantad brunbagge </w:t>
      </w:r>
      <w:r>
        <w:rPr>
          <w:i/>
        </w:rPr>
        <w:t xml:space="preserve">Dolotarsus lividus </w:t>
      </w:r>
      <w:r>
        <w:t>(RE)</w:t>
      </w:r>
      <w:r>
        <w:rPr>
          <w:i/>
        </w:rPr>
        <w:t xml:space="preserve"> </w:t>
      </w:r>
      <w:r>
        <w:t xml:space="preserve">och trefläckig brunbagge </w:t>
      </w:r>
      <w:r>
        <w:rPr>
          <w:i/>
        </w:rPr>
        <w:t>Wanachia triguttata</w:t>
      </w:r>
      <w:r>
        <w:t>) (SLU Artdatabanken, 2024).</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