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29667-2025 i Arjeplogs kommun</w:t>
      </w:r>
    </w:p>
    <w:p>
      <w:r>
        <w:t>Detta klagomål behandlar höga naturvärden i avverkningsanmälan A 29667-2025 i Arjeplogs kommun som inkom 2025-06-17 och omfattar 20,1 ha.</w:t>
      </w:r>
    </w:p>
    <w:p>
      <w:pPr>
        <w:pStyle w:val="Caption"/>
      </w:pPr>
      <w:r>
        <w:drawing>
          <wp:inline xmlns:a="http://schemas.openxmlformats.org/drawingml/2006/main" xmlns:pic="http://schemas.openxmlformats.org/drawingml/2006/picture">
            <wp:extent cx="5486400" cy="4556683"/>
            <wp:docPr id="1" name="Picture 1"/>
            <wp:cNvGraphicFramePr>
              <a:graphicFrameLocks noChangeAspect="1"/>
            </wp:cNvGraphicFramePr>
            <a:graphic>
              <a:graphicData uri="http://schemas.openxmlformats.org/drawingml/2006/picture">
                <pic:pic>
                  <pic:nvPicPr>
                    <pic:cNvPr id="0" name="A 29667-2025 karta.png"/>
                    <pic:cNvPicPr/>
                  </pic:nvPicPr>
                  <pic:blipFill>
                    <a:blip r:embed="rId16"/>
                    <a:stretch>
                      <a:fillRect/>
                    </a:stretch>
                  </pic:blipFill>
                  <pic:spPr>
                    <a:xfrm>
                      <a:off x="0" y="0"/>
                      <a:ext cx="5486400" cy="4556683"/>
                    </a:xfrm>
                    <a:prstGeom prst="rect"/>
                  </pic:spPr>
                </pic:pic>
              </a:graphicData>
            </a:graphic>
          </wp:inline>
        </w:drawing>
      </w:r>
    </w:p>
    <w:p>
      <w:pPr>
        <w:pStyle w:val="Caption"/>
        <w:spacing w:after="240"/>
      </w:pPr>
      <w:r>
        <w:t>Figur 1. Fyndplatser för naturvårdsarter i och inom 11 meter från avverkningsanmälan. Markörer utan svart kant är placerade på fyndplatsen. Markörer med svart kant är placerade vid sidan av fyndplatsen och har ett svart streck som visar fyndplatsens exakta position. Kartans mittpunktskoordinat är N 7331060, E 655592 i SWEREF 99 TM.</w:t>
      </w:r>
    </w:p>
    <w:p>
      <w:r>
        <w:t>I och inom 11 meter från avverkningsanmälan finns fynd av 33 naturvårdsarter, varav 22 är rödlistade, 9 är fridlysta, 23 är typiska (T) och 8 är signalarter (S): blackticka (VU), doftticka (VU, T, §8), garnlav (VU, T), grantickeporing (VU), gränsticka (VU, T), tajgaskinn (VU), blanksvart spiklav (NT), duvhök (NT, §4), dvärgbägarlav (NT, T), gammelgransskål (NT, T), knottrig blåslav (NT, T), rosenticka (NT, T), rödbrun blekspik (NT, T), stjärntagging (NT, T), talltita (NT, §4), tretåig hackspett (NT, T, §4), ullticka (NT, T), vedskivlav (NT, T), vedtrappmossa (NT, T), violmussling (NT, T), vitgrynig nållav (NT), älg (NT), bronshjon (S, T), bårdlav (S, T), korallrot (S, T, §8), luddlav (S, T), norrlandslav (S, T), spindelblomster (S, T, §8), stuplav (S, T), vågbandad barkbock (S), spillkråka (T, §4), tjäder (T, §4) och brudsporre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Blackticka (VU)</w:t>
      </w:r>
      <w:r>
        <w:t>, rödlistad som sårbar, är en exklusiv svamp som signalerar fuktiga granskogar med mycket höga naturvärden. Den har klassificerats som en “urskogsindikator” och påträffas nästan enbart i urskogsartade barrnaturskogar med långvarig kontinuitet av grova lågor i olika nedbrytningsstadier. Skogsskötselåtgärder på eller i omedelbar närhet av lokalerna utgör ett hot och på lång sikt innebär fragmenteringen av skogslandskapet att artens förekomster isoleras vilket i sig utgör ett hot mot artens överlevnad. Fler skogar med blackticka måste skyddas (Nitare &amp; Skogsstyrelsen, 2019; SLU Artdatabanken, 2024).</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och är typisk art för </w:t>
      </w:r>
      <w:r>
        <w:rPr>
          <w:i/>
        </w:rPr>
        <w:t>9010 Taiga</w:t>
      </w:r>
      <w:r>
        <w:t xml:space="preserve"> och</w:t>
      </w:r>
      <w:r>
        <w:rPr>
          <w:i/>
        </w:rPr>
        <w:t xml:space="preserve"> 9050 Näringsrik granskog </w:t>
      </w:r>
      <w:r>
        <w:t>(IUCN Redlist, 2024; Nitare &amp; Skogsstyrelsen, 2019; SLU Artdatabanken, 2024).</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Grantickeporing (VU)</w:t>
      </w:r>
      <w:r>
        <w:t xml:space="preserve"> växer på murken ved och döda fruktkroppar av granticka och gränsticka (VU). Den förekommer i naturskogsliknade granskogar, gärna i fuktiga miljöer vid källbäckar och liknande. Avverkning av naturskogslika miljöer och av grova granar där grantickeporing förekommer är ett direkt hot mot artens fortlevnad. Gamla granskogar som hyser arten undantas helt från skogsbruk (SLU Artdatabanken, 2026).</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Tajgaskinn (VU)</w:t>
      </w:r>
      <w:r>
        <w:t xml:space="preserve"> är placerad högst upp i Skogsstyrelsens värdepyramid för bedömning av skog med höga naturvärden och har klassificerats som en ”urskogsindikator” som kräver närmast orörda skogsmiljöer med långvarig kontinuitet av grova granlågor i olika nedbrytningsstadier (Nitare &amp; Skogsstyrelsen, 2019).</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Duvhök (NT, §4)</w:t>
      </w:r>
      <w:r>
        <w:t>, som är rödlistad som nära hotad, har minskat med 15 (0–30) % under de senaste 18 åren och minskningstakten för den svenska populationen bedöms vara nära gränsvärdet för sårbar (VU). Arten är starkt bunden till skogsmark och jagar helst inne i äldre skog. Den missgynnas av stora hyggen och täta planteringar. De gamla fåglarna är i huvudsak stationära i sina revir och boet läggs inne i tät, oftast äldre skog. Kantzoner mot öppen mark undviks och duvhöken, som är beroende av insynsskyddade boplatser, är därför känsligare för slutavverkning än flera andra rovfåglar. Friställande av boträd eller avverkning så att boplatsen blir exponerad mot öppen mark, medför att platsen överges. Eftersom duvhöken helst häckar i gammal skog, är dess häckningsplatser i princip alltid mer eller mindre hotade av skogsbruk och avverkningar (SLU Artdatabanken, 2026; Skogsstyrelsen 2016).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Knottrig blåslav är typisk art för </w:t>
      </w:r>
      <w:r>
        <w:rPr>
          <w:i/>
        </w:rPr>
        <w:t xml:space="preserve">9010 Taiga </w:t>
      </w:r>
      <w:r>
        <w:t>och</w:t>
      </w:r>
      <w:r>
        <w:rPr>
          <w:i/>
        </w:rPr>
        <w:t xml:space="preserve"> 9040 Fjällbjörkskog</w:t>
      </w:r>
    </w:p>
    <w:p>
      <w:r>
        <w:t>(SLU Artdatabanken, 2024;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Rödbrun blekspik (NT)</w:t>
      </w:r>
      <w:r>
        <w:t xml:space="preserve"> växer i norra Sverige på bark och ved av björk och gran i skogar med hög och jämn luftfuktighet. I södra Sverige växer den främst på ek i öppna åldriga lövskogar. I norra delen av sitt utbredningsområde hotas arten av slutavverkningar av gamla granskogar. I den södra delen av landet hotas den genom de åldriga lövskogarnas tillbakagång och särskilt ekhagarnas igenväxning och genom plantering av sådan mark med barrskog. Rödbrun blekspik är typisk art för </w:t>
      </w:r>
      <w:r>
        <w:rPr>
          <w:i/>
        </w:rPr>
        <w:t xml:space="preserve">9010 Taiga, 9020 Nordlig ädellövskog, 9070 Trädklädd betesmark, 9160 Näringsrik ekskog </w:t>
      </w:r>
      <w:r>
        <w:t xml:space="preserve">och </w:t>
      </w:r>
      <w:r>
        <w:rPr>
          <w:i/>
        </w:rPr>
        <w:t>9180 Ädellövskog i branter</w:t>
      </w:r>
      <w:r>
        <w:t xml:space="preserve"> och signalerar alltid höga naturvärden (SLU Artdatabanken, 2024; Nitare &amp; Skogsstyrelsen, 2019).</w:t>
      </w:r>
    </w:p>
    <w:p>
      <w:r>
        <w:rPr>
          <w:b/>
        </w:rPr>
        <w:t>Stjärntagging (NT)</w:t>
      </w:r>
      <w:r>
        <w:t xml:space="preserve"> signalerar inom hela sitt utbredningsområde höga naturvärden. Svampen är uttorkningskänslig och beroende av ett oförändrat fuktigt mikroklimat. Den är även beroende av en ständig tillgång på död ved i olika nedbrytningsstadier, dock ej nödvändigtvis grova träd. Tidigare påverkan på miljön måste dock ha varit så skonsam att det naturliga skogsekosystemet till stora delar har bevarats. Minskningstakten för den svenska populationen bedöms vara nära gränsvärdet för Sårbar (VU). Stjärntagging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Violmussling (NT)</w:t>
      </w:r>
      <w:r>
        <w:t xml:space="preserve"> växer på döda, oftast omkullfallna stammar av gran eller tall. De flesta fynden har gjorts i gammal, orörd skog och arten är en mycket god indikator på förekomst av lång skoglig kontinuitet. Platser som hyser stora bestånd av violmussling bör i första hand skyddas och undantas från skogsbruk. Flera sällsynta och mycket sällsynta tickor och skalbaggar är mer eller mindre starkt associerade med violtickor </w:t>
      </w:r>
      <w:r>
        <w:rPr>
          <w:i/>
        </w:rPr>
        <w:t>Trichaptum spp.</w:t>
      </w:r>
      <w:r>
        <w:t xml:space="preserve"> och död ved som först rötats av någon </w:t>
      </w:r>
      <w:r>
        <w:rPr>
          <w:i/>
        </w:rPr>
        <w:t>Trichaptum-art</w:t>
      </w:r>
      <w:r>
        <w:t>. Bland dessa kan nämnas gul mjukporing (CR), lämmelporing (CR), kilporing (VU), parasitporing (VU), gropig brunbagge (NT), gulbandad brunbagge</w:t>
      </w:r>
      <w:r>
        <w:rPr>
          <w:i/>
        </w:rPr>
        <w:t xml:space="preserve"> </w:t>
      </w:r>
      <w:r>
        <w:t>(NT) och brunkantad brunbagge</w:t>
      </w:r>
      <w:r>
        <w:rPr>
          <w:i/>
        </w:rPr>
        <w:t xml:space="preserve"> </w:t>
      </w:r>
      <w:r>
        <w:t xml:space="preserve">(DD). Violmussling är typisk art för </w:t>
      </w:r>
      <w:r>
        <w:rPr>
          <w:i/>
        </w:rPr>
        <w:t>9010 Taiga</w:t>
      </w:r>
      <w:r>
        <w:t xml:space="preserve"> (SLU Artdatabanken, 2026; Nitare &amp; Skogsstyrelsen,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Korallrot är typisk art för </w:t>
      </w:r>
      <w:r>
        <w:rPr>
          <w:i/>
        </w:rPr>
        <w:t>9080 Lövsumpskog</w:t>
      </w:r>
      <w:r>
        <w:t xml:space="preserve"> och fridlyst enligt 8 § artskyddsförordningen (SLU Artdatabanken, 2024; Nitare &amp; Skogsstyrelsen, 2019).</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 xml:space="preserve">Norrlandslav </w:t>
      </w:r>
      <w:r>
        <w:t xml:space="preserve">indikerar söder om den naturliga norrlandsgränsen barrskogsbeklädda bergbranter eller andra ostörda skogsmiljöer med höga naturvärden. Norrlandslav är typisk art för </w:t>
      </w:r>
      <w:r>
        <w:rPr>
          <w:i/>
        </w:rPr>
        <w:t xml:space="preserve">9010 Taiga, 8110 Silikatrasmarker </w:t>
      </w:r>
      <w:r>
        <w:t>och</w:t>
      </w:r>
      <w:r>
        <w:rPr>
          <w:i/>
        </w:rPr>
        <w:t xml:space="preserve"> 8120 Kalkrasmarker </w:t>
      </w:r>
      <w:r>
        <w:t>(Nitare &amp; Skogsstyrelsen, 2000; SLU Artdatabanken, 2025).</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30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33 naturvårdsarter varav 22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Duvhök – ekologi samt krav på livsmiljön</w:t>
      </w:r>
    </w:p>
    <w:p>
      <w:r>
        <w:t>Duvhök (NT, §4) är rödlistad som nära hotad och fridlyst enligt 4§ artskyddsförordningen. Arten har minskat med 15 (0–30) % under de senaste 18 åren och minskningstakten för den svenska populationen bedöms vara nära gränsvärdet för sårbar (VU). Bedömningen baseras på direkt observation, ett för arten lämpligt abundansindex och minskad geografisk utbredning och/eller försämrad habitatkvalitet (allt yngre och tätare skogar vilket försvårar för boplacering samt missgynnar jaktmöjligheterna) (SLU Artdatabanken, 2026).</w:t>
      </w:r>
    </w:p>
    <w:p>
      <w:r>
        <w:t>Duvhöken är starkt bunden till skogsmark, såväl för häckning som födosök. Den påträffas oftast i större skogsområden med äldre skog, men kan ibland även häcka i dungar i områden dominerade av öppen mark. De gamla fåglarna är i huvudsak stationära i sina revir. Duvhöken jagar helst inne i äldre skog och missgynnas av stora hyggen och täta planteringar (Skogsstyrelsen, 2016).</w:t>
      </w:r>
    </w:p>
    <w:p>
      <w:r>
        <w:t>Boet läggs inne i tät, oftast äldre skog. Kantzoner mot öppen mark undviks och duvhöken är därför känsligare för slutavverkning än flera andra rovfåglar. Boträdet måste vara grovgrenigt och är oftast en äldre gran eller tall, i sydligaste Sverige är bok vanligt. Duvhöken är beroende av insynsskyddade boplatser. Friställande av boträd eller avverkning så att boplatsen är exponerad mot öppen mark, medför att platsen överges. Samma bo kan användas flera år i rad, men likt andra rovfåglar har den normalt ett eller flera alternativa bon (Skogsstyrelsen, 2016). Eftersom duvhöken helst häckar i gammal skog, är dess häckningsplatser i princip alltid mer eller mindre hotade av skogsbruk och avverkningar (SLU Artdatabanken, 2026).</w:t>
      </w:r>
    </w:p>
    <w:p>
      <w:r>
        <w:t>Den viktigaste begränsande faktorn för duvhökspopulationen i stort är födan och ett allvarligare problem är därför den av skogsbruket orsakade storskaliga omvandlingen och utarmningen av skogslandskapet, som kan påverka såväl duvhökens möjlighet att jaga som förekomsten av viktiga byten. Duvhökens jaktteknik gör den beroende av landskapets utformning och sammansättning och dess preferens för gammal skog tyder på att den är anpassad till att jaga i skog som är “lagom” tät. I öppnare biotoper, till exempel hyggen, kommer dess jaktteknik inte till sin rätt och i tätare biotoper, t.ex. ungskogar, har den relativt stora duvhöken svårt att manövrera (SLU Artdatabanken, 2026).</w:t>
      </w:r>
    </w:p>
    <w:p>
      <w:pPr>
        <w:pStyle w:val="Heading2"/>
      </w:pPr>
      <w:r>
        <w:t>Referenser – duvhök</w:t>
      </w:r>
    </w:p>
    <w:p>
      <w:r>
        <w:t xml:space="preserve">Skogsstyrelsen, 2016. </w:t>
      </w:r>
      <w:r>
        <w:rPr>
          <w:i/>
        </w:rPr>
        <w:t xml:space="preserve">Duvhök – Vägledning för hänsyn till fåglar. </w:t>
      </w:r>
      <w:r>
        <w:t>https://www.skogsstyrelsen.se/globalassets/lag-och-tillsyn/artskydd/vagledningar-for-hansyn-till-faglar/duvhok-vagledning-hansyn2.pdf</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