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31143-2025 i Arjeplogs kommun</w:t>
      </w:r>
    </w:p>
    <w:p>
      <w:r>
        <w:t>Denna tillsynsbegäran behandlar höga naturvärden i avverkningsanmälan A 31143-2025 i Arjeplogs kommun som inkom 2025-06-23 och omfattar 16,4 ha.</w:t>
      </w:r>
    </w:p>
    <w:p>
      <w:pPr>
        <w:pStyle w:val="Caption"/>
      </w:pPr>
      <w:r>
        <w:drawing>
          <wp:inline xmlns:a="http://schemas.openxmlformats.org/drawingml/2006/main" xmlns:pic="http://schemas.openxmlformats.org/drawingml/2006/picture">
            <wp:extent cx="5486400" cy="4641758"/>
            <wp:docPr id="1" name="Picture 1"/>
            <wp:cNvGraphicFramePr>
              <a:graphicFrameLocks noChangeAspect="1"/>
            </wp:cNvGraphicFramePr>
            <a:graphic>
              <a:graphicData uri="http://schemas.openxmlformats.org/drawingml/2006/picture">
                <pic:pic>
                  <pic:nvPicPr>
                    <pic:cNvPr id="0" name="A 31143-2025 karta.png"/>
                    <pic:cNvPicPr/>
                  </pic:nvPicPr>
                  <pic:blipFill>
                    <a:blip r:embed="rId16"/>
                    <a:stretch>
                      <a:fillRect/>
                    </a:stretch>
                  </pic:blipFill>
                  <pic:spPr>
                    <a:xfrm>
                      <a:off x="0" y="0"/>
                      <a:ext cx="5486400" cy="46417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7312436, E 615901 i SWEREF 99 TM.</w:t>
      </w:r>
    </w:p>
    <w:p>
      <w:r>
        <w:t>I avverkningsanmälan finns fynd av 9 naturvårdsarter, varav 9 är rödlistade, 2 är fridlysta och 7 är typiska (T): fläckporing (VU, T), garnlav (VU, T), gränsticka (VU, T), knottrig blåslav (NT, T), rosenticka (NT, T), talltita (NT, §4), tretåig hackspett (NT, T, §4), vedskivlav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gränsticka (VU, T), knottrig blåslav (NT, T), rosenticka (NT, T), tretåig hackspett (NT, T, §4)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