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24892-2026 i Arjeplogs kommun</w:t>
      </w:r>
    </w:p>
    <w:p>
      <w:r>
        <w:t>Denna tillsynsbegäran behandlar höga naturvärden i avverkningsanmälan A 24892-2026 i Arjeplogs kommun som inkom 2026-06-01 och omfattar 19,7 ha.</w:t>
      </w:r>
    </w:p>
    <w:p>
      <w:pPr>
        <w:pStyle w:val="Caption"/>
      </w:pPr>
      <w:r>
        <w:drawing>
          <wp:inline xmlns:a="http://schemas.openxmlformats.org/drawingml/2006/main" xmlns:pic="http://schemas.openxmlformats.org/drawingml/2006/picture">
            <wp:extent cx="5242946" cy="5724000"/>
            <wp:docPr id="1" name="Picture 1"/>
            <wp:cNvGraphicFramePr>
              <a:graphicFrameLocks noChangeAspect="1"/>
            </wp:cNvGraphicFramePr>
            <a:graphic>
              <a:graphicData uri="http://schemas.openxmlformats.org/drawingml/2006/picture">
                <pic:pic>
                  <pic:nvPicPr>
                    <pic:cNvPr id="0" name="A 24892-2026 karta.png"/>
                    <pic:cNvPicPr/>
                  </pic:nvPicPr>
                  <pic:blipFill>
                    <a:blip r:embed="rId16"/>
                    <a:stretch>
                      <a:fillRect/>
                    </a:stretch>
                  </pic:blipFill>
                  <pic:spPr>
                    <a:xfrm>
                      <a:off x="0" y="0"/>
                      <a:ext cx="5242946"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7333308, E 626670 i SWEREF 99 TM.</w:t>
      </w:r>
    </w:p>
    <w:p>
      <w:r>
        <w:t>I och inom 11 meter från avverkningsanmälan finns fynd av 16 naturvårdsarter, varav 13 är rödlistade, 4 är fridlysta och 7 är typiska (T): fläckporing (VU, T), garnlav (VU, T), gräddporing (VU, T), blanksvart spiklav (NT), dvärgbägarlav (NT, T), grå blåbärsfältmätare (NT), mörk kolflarnlav (NT), talltagel (NT, T), talltita (NT, §4), vedflamlav (NT), vedskivlav (NT, T), vitplätt (NT), älg (NT), tjäder (T, §4),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dvärgbägarlav (NT, T), talltagel (NT, T), vedskivlav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