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20 naturvårdsarter, varav 18 är rödlistade, 3 är fridlysta, 8 är typiska (T) och 1 är signalart (S): gräddporing (VU, T), smalfotad taggsvamp (VU), tajgataggsvamp (VU), torrmusseron (VU), blå taggsvamp (NT, T), dropptaggsvamp (NT, T), dvärgbägarlav (NT, T), mjölsvärting (NT), orange taggsvamp (NT, T), Phellodon aquiloniniger (NT), skarp dropptaggsvamp (NT), svartvit taggsvamp (NT), talltaggsvamp (NT), talltita (NT, §4), vaxspindling (NT), vedflamlav (NT), vedskivlav (NT, T), vitplätt (NT),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orange taggsvamp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