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62534-2022 i Jokkmokks kommun</w:t>
      </w:r>
    </w:p>
    <w:p>
      <w:r>
        <w:t>Denna tillsynsbegäran behandlar höga naturvärden i avverkningsanmälan A 62534-2022 i Jokkmokks kommun som inkom 2022-12-22 och omfattar 28,9 ha.</w:t>
      </w:r>
    </w:p>
    <w:p>
      <w:pPr>
        <w:pStyle w:val="Caption"/>
      </w:pPr>
      <w:r>
        <w:drawing>
          <wp:inline xmlns:a="http://schemas.openxmlformats.org/drawingml/2006/main" xmlns:pic="http://schemas.openxmlformats.org/drawingml/2006/picture">
            <wp:extent cx="5148946" cy="5724000"/>
            <wp:docPr id="1" name="Picture 1"/>
            <wp:cNvGraphicFramePr>
              <a:graphicFrameLocks noChangeAspect="1"/>
            </wp:cNvGraphicFramePr>
            <a:graphic>
              <a:graphicData uri="http://schemas.openxmlformats.org/drawingml/2006/picture">
                <pic:pic>
                  <pic:nvPicPr>
                    <pic:cNvPr id="0" name="A 62534-2022 karta.png"/>
                    <pic:cNvPicPr/>
                  </pic:nvPicPr>
                  <pic:blipFill>
                    <a:blip r:embed="rId16"/>
                    <a:stretch>
                      <a:fillRect/>
                    </a:stretch>
                  </pic:blipFill>
                  <pic:spPr>
                    <a:xfrm>
                      <a:off x="0" y="0"/>
                      <a:ext cx="5148946"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7364780, E 737992 i SWEREF 99 TM.</w:t>
      </w:r>
    </w:p>
    <w:p>
      <w:r>
        <w:t>I och inom 3 meter från avverkningsanmälan finns fynd av 26 naturvårdsarter, varav 16 är rödlistade, 7 är fridlysta, 20 är typiska (T) och 6 är signalarter (S): doftticka (VU, T, §8), garnlav (VU, T), knärot (VU, T, §8), blågrå svartspik (NT), dropptaggsvamp (NT, T), dvärgbägarlav (NT, T), knottrig blåslav (NT, T), kolflarnlav (NT, T), lunglav (NT, T), mörk kolflarnlav (NT), skrovellav (NT, T), stiftgelélav (NT, T), tretåig hackspett (NT, T, §4), vedflamlav (NT), vedskivlav (NT, T), vitplätt (NT), bårdlav (S, T), korallblylav (S, T), luddlav (S, T), nästlav (S, T), skinnlav (S, T), stuplav (S, T), spillkråka (T, §4), tjäder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2.37 ha med buffertzonerna och får av detta skäl inte avverkas.</w:t>
      </w:r>
    </w:p>
    <w:p>
      <w:pPr>
        <w:pStyle w:val="Caption"/>
      </w:pPr>
      <w:r>
        <w:drawing>
          <wp:inline xmlns:a="http://schemas.openxmlformats.org/drawingml/2006/main" xmlns:pic="http://schemas.openxmlformats.org/drawingml/2006/picture">
            <wp:extent cx="5486400" cy="5603292"/>
            <wp:docPr id="2" name="Picture 2"/>
            <wp:cNvGraphicFramePr>
              <a:graphicFrameLocks noChangeAspect="1"/>
            </wp:cNvGraphicFramePr>
            <a:graphic>
              <a:graphicData uri="http://schemas.openxmlformats.org/drawingml/2006/picture">
                <pic:pic>
                  <pic:nvPicPr>
                    <pic:cNvPr id="0" name="A 62534-2022 karta knärot.png"/>
                    <pic:cNvPicPr/>
                  </pic:nvPicPr>
                  <pic:blipFill>
                    <a:blip r:embed="rId17"/>
                    <a:stretch>
                      <a:fillRect/>
                    </a:stretch>
                  </pic:blipFill>
                  <pic:spPr>
                    <a:xfrm>
                      <a:off x="0" y="0"/>
                      <a:ext cx="5486400" cy="56032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7364780, E 737992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dropptaggsvamp (NT, T), dvärgbägarlav (NT, T), knottrig blåslav (NT, T), kolflarnlav (NT, T), lunglav (NT, T), skrovellav (NT, T), stiftgelélav (NT, T), tretåig hackspett (NT, T, §4), vedskivlav (NT, T), bårdlav (S, T), korallblylav (S, T), luddlav (S, T), nästlav (S, T), skinnlav (S, T),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