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2028-2025 i Jokkmokks kommun</w:t>
      </w:r>
    </w:p>
    <w:p>
      <w:r>
        <w:t>Denna tillsynsbegäran behandlar höga naturvärden i avverkningsanmälan A 2028-2025 i Jokkmokks kommun som inkom 2025-01-15 och omfattar 27,8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2028-2025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7399393, E 673911 i SWEREF 99 TM.</w:t>
      </w:r>
    </w:p>
    <w:p>
      <w:r>
        <w:t>I och inom 25 meter från avverkningsanmälan finns fynd av 14 naturvårdsarter, varav 9 är rödlistade, 5 är fridlysta, 13 är typiska (T) och 3 är signalarter (S): gräddporing (VU, T), dvärgbägarlav (NT, T), gammelgransskål (NT, T), knottrig blåslav (NT, T), kolflarnlav (NT, T), lavskrika (NT, T, §4), nordtagging (NT), skrovellav (NT, T), tretåig hackspett (NT, T, §4), bronshjon (S, T), bårdlav (S, T), plattlummer (S,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dvärgbägarlav (NT, T), gammelgransskål (NT, T), knottrig blåslav (NT, T), kolflarnlav (NT, T), lavskrika (NT, T, §4), skrovellav (NT, T), tretåig hackspett (NT, T, §4), bronshjon (S, T), bårdlav (S,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